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B4689" w14:textId="0050CCC8" w:rsidR="00292494" w:rsidRPr="005A742E" w:rsidRDefault="00D04D12" w:rsidP="00D94AEE">
      <w:pPr>
        <w:pStyle w:val="NormalWeb"/>
        <w:jc w:val="center"/>
        <w:rPr>
          <w:b/>
          <w:u w:val="single"/>
        </w:rPr>
      </w:pPr>
      <w:r w:rsidRPr="00D94AEE">
        <w:rPr>
          <w:b/>
          <w:sz w:val="32"/>
          <w:u w:val="single"/>
        </w:rPr>
        <w:t>How Do Life Settlements Fit I</w:t>
      </w:r>
      <w:r w:rsidR="00AB442B">
        <w:rPr>
          <w:b/>
          <w:sz w:val="32"/>
          <w:u w:val="single"/>
        </w:rPr>
        <w:t xml:space="preserve">nto an Institutional </w:t>
      </w:r>
      <w:r w:rsidR="00DA1C31">
        <w:rPr>
          <w:b/>
          <w:sz w:val="32"/>
          <w:u w:val="single"/>
        </w:rPr>
        <w:t>Portfolio:</w:t>
      </w:r>
      <w:r w:rsidRPr="00D94AEE">
        <w:rPr>
          <w:b/>
          <w:sz w:val="32"/>
          <w:u w:val="single"/>
        </w:rPr>
        <w:t xml:space="preserve"> Alpha plus Correlation</w:t>
      </w:r>
      <w:r w:rsidR="006B2C07" w:rsidRPr="005A742E">
        <w:rPr>
          <w:b/>
          <w:sz w:val="28"/>
          <w:u w:val="single"/>
        </w:rPr>
        <w:br/>
      </w:r>
      <w:r w:rsidR="00D94AEE">
        <w:rPr>
          <w:b/>
          <w:sz w:val="28"/>
        </w:rPr>
        <w:t xml:space="preserve">      </w:t>
      </w:r>
      <w:r w:rsidR="006B2C07" w:rsidRPr="005A742E">
        <w:rPr>
          <w:i/>
        </w:rPr>
        <w:t>A comparison with main alternative asset classes</w:t>
      </w:r>
      <w:r w:rsidR="008E32E8" w:rsidRPr="005A742E">
        <w:rPr>
          <w:b/>
          <w:u w:val="single"/>
        </w:rPr>
        <w:br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101954432"/>
        <w:docPartObj>
          <w:docPartGallery w:val="Table of Contents"/>
          <w:docPartUnique/>
        </w:docPartObj>
      </w:sdtPr>
      <w:sdtEndPr>
        <w:rPr>
          <w:b/>
          <w:bCs/>
          <w:i/>
          <w:noProof/>
        </w:rPr>
      </w:sdtEndPr>
      <w:sdtContent>
        <w:p w14:paraId="524E81D2" w14:textId="320DCC60" w:rsidR="007235DB" w:rsidRPr="006B7615" w:rsidRDefault="007235DB">
          <w:pPr>
            <w:pStyle w:val="TOCHeading"/>
            <w:rPr>
              <w:u w:val="single"/>
            </w:rPr>
          </w:pPr>
          <w:r w:rsidRPr="006B7615">
            <w:rPr>
              <w:i/>
              <w:color w:val="auto"/>
              <w:u w:val="single"/>
            </w:rPr>
            <w:t>Index</w:t>
          </w:r>
        </w:p>
        <w:p w14:paraId="52D4354E" w14:textId="77777777" w:rsidR="007235DB" w:rsidRPr="007235DB" w:rsidRDefault="007235DB" w:rsidP="007235DB">
          <w:pPr>
            <w:rPr>
              <w:lang w:val="en-US"/>
            </w:rPr>
          </w:pPr>
        </w:p>
        <w:p w14:paraId="620FBB1F" w14:textId="77777777" w:rsidR="007235DB" w:rsidRPr="00383734" w:rsidRDefault="007235DB">
          <w:pPr>
            <w:pStyle w:val="TOC1"/>
            <w:tabs>
              <w:tab w:val="right" w:leader="dot" w:pos="9016"/>
            </w:tabs>
            <w:rPr>
              <w:rFonts w:eastAsiaTheme="minorEastAsia"/>
              <w:i/>
              <w:noProof/>
              <w:lang w:eastAsia="en-GB"/>
            </w:rPr>
          </w:pPr>
          <w:r w:rsidRPr="00383734">
            <w:rPr>
              <w:i/>
            </w:rPr>
            <w:fldChar w:fldCharType="begin"/>
          </w:r>
          <w:r w:rsidRPr="00383734">
            <w:rPr>
              <w:i/>
            </w:rPr>
            <w:instrText xml:space="preserve"> TOC \o "1-3" \h \z \u </w:instrText>
          </w:r>
          <w:r w:rsidRPr="00383734">
            <w:rPr>
              <w:i/>
            </w:rPr>
            <w:fldChar w:fldCharType="separate"/>
          </w:r>
          <w:hyperlink w:anchor="_Toc54885935" w:history="1">
            <w:r w:rsidRPr="00383734">
              <w:rPr>
                <w:rStyle w:val="Hyperlink"/>
                <w:i/>
                <w:noProof/>
                <w:lang w:eastAsia="en-GB"/>
              </w:rPr>
              <w:t>1) Allocation Trends in Institutional Portfolio after Covid-19 disruption</w:t>
            </w:r>
            <w:r w:rsidRPr="00383734">
              <w:rPr>
                <w:i/>
                <w:noProof/>
                <w:webHidden/>
              </w:rPr>
              <w:tab/>
            </w:r>
            <w:r w:rsidRPr="00383734">
              <w:rPr>
                <w:i/>
                <w:noProof/>
                <w:webHidden/>
              </w:rPr>
              <w:fldChar w:fldCharType="begin"/>
            </w:r>
            <w:r w:rsidRPr="00383734">
              <w:rPr>
                <w:i/>
                <w:noProof/>
                <w:webHidden/>
              </w:rPr>
              <w:instrText xml:space="preserve"> PAGEREF _Toc54885935 \h </w:instrText>
            </w:r>
            <w:r w:rsidRPr="00383734">
              <w:rPr>
                <w:i/>
                <w:noProof/>
                <w:webHidden/>
              </w:rPr>
            </w:r>
            <w:r w:rsidRPr="00383734">
              <w:rPr>
                <w:i/>
                <w:noProof/>
                <w:webHidden/>
              </w:rPr>
              <w:fldChar w:fldCharType="separate"/>
            </w:r>
            <w:r w:rsidR="00121707">
              <w:rPr>
                <w:i/>
                <w:noProof/>
                <w:webHidden/>
              </w:rPr>
              <w:t>2</w:t>
            </w:r>
            <w:r w:rsidRPr="00383734">
              <w:rPr>
                <w:i/>
                <w:noProof/>
                <w:webHidden/>
              </w:rPr>
              <w:fldChar w:fldCharType="end"/>
            </w:r>
          </w:hyperlink>
        </w:p>
        <w:p w14:paraId="108A6D5B" w14:textId="77777777" w:rsidR="007235DB" w:rsidRPr="00383734" w:rsidRDefault="00DA1C31">
          <w:pPr>
            <w:pStyle w:val="TOC2"/>
            <w:tabs>
              <w:tab w:val="right" w:leader="dot" w:pos="9016"/>
            </w:tabs>
            <w:rPr>
              <w:rFonts w:eastAsiaTheme="minorEastAsia"/>
              <w:i/>
              <w:noProof/>
              <w:lang w:eastAsia="en-GB"/>
            </w:rPr>
          </w:pPr>
          <w:hyperlink w:anchor="_Toc54885936" w:history="1">
            <w:r w:rsidR="007235DB" w:rsidRPr="00383734">
              <w:rPr>
                <w:rStyle w:val="Hyperlink"/>
                <w:i/>
                <w:noProof/>
                <w:lang w:eastAsia="en-GB"/>
              </w:rPr>
              <w:t>a) Fixed Income</w:t>
            </w:r>
            <w:r w:rsidR="007235DB" w:rsidRPr="00383734">
              <w:rPr>
                <w:i/>
                <w:noProof/>
                <w:webHidden/>
              </w:rPr>
              <w:tab/>
            </w:r>
            <w:r w:rsidR="007235DB" w:rsidRPr="00383734">
              <w:rPr>
                <w:i/>
                <w:noProof/>
                <w:webHidden/>
              </w:rPr>
              <w:fldChar w:fldCharType="begin"/>
            </w:r>
            <w:r w:rsidR="007235DB" w:rsidRPr="00383734">
              <w:rPr>
                <w:i/>
                <w:noProof/>
                <w:webHidden/>
              </w:rPr>
              <w:instrText xml:space="preserve"> PAGEREF _Toc54885936 \h </w:instrText>
            </w:r>
            <w:r w:rsidR="007235DB" w:rsidRPr="00383734">
              <w:rPr>
                <w:i/>
                <w:noProof/>
                <w:webHidden/>
              </w:rPr>
            </w:r>
            <w:r w:rsidR="007235DB" w:rsidRPr="00383734">
              <w:rPr>
                <w:i/>
                <w:noProof/>
                <w:webHidden/>
              </w:rPr>
              <w:fldChar w:fldCharType="separate"/>
            </w:r>
            <w:r w:rsidR="00121707">
              <w:rPr>
                <w:i/>
                <w:noProof/>
                <w:webHidden/>
              </w:rPr>
              <w:t>2</w:t>
            </w:r>
            <w:r w:rsidR="007235DB" w:rsidRPr="00383734">
              <w:rPr>
                <w:i/>
                <w:noProof/>
                <w:webHidden/>
              </w:rPr>
              <w:fldChar w:fldCharType="end"/>
            </w:r>
          </w:hyperlink>
        </w:p>
        <w:p w14:paraId="2991EE69" w14:textId="77777777" w:rsidR="007235DB" w:rsidRPr="00383734" w:rsidRDefault="00DA1C31">
          <w:pPr>
            <w:pStyle w:val="TOC2"/>
            <w:tabs>
              <w:tab w:val="right" w:leader="dot" w:pos="9016"/>
            </w:tabs>
            <w:rPr>
              <w:rFonts w:eastAsiaTheme="minorEastAsia"/>
              <w:i/>
              <w:noProof/>
              <w:lang w:eastAsia="en-GB"/>
            </w:rPr>
          </w:pPr>
          <w:hyperlink w:anchor="_Toc54885937" w:history="1">
            <w:r w:rsidR="007235DB" w:rsidRPr="00383734">
              <w:rPr>
                <w:rStyle w:val="Hyperlink"/>
                <w:i/>
                <w:noProof/>
                <w:lang w:eastAsia="en-GB"/>
              </w:rPr>
              <w:t>b) Alternative Investments</w:t>
            </w:r>
            <w:r w:rsidR="007235DB" w:rsidRPr="00383734">
              <w:rPr>
                <w:i/>
                <w:noProof/>
                <w:webHidden/>
              </w:rPr>
              <w:tab/>
            </w:r>
            <w:r w:rsidR="007235DB" w:rsidRPr="00383734">
              <w:rPr>
                <w:i/>
                <w:noProof/>
                <w:webHidden/>
              </w:rPr>
              <w:fldChar w:fldCharType="begin"/>
            </w:r>
            <w:r w:rsidR="007235DB" w:rsidRPr="00383734">
              <w:rPr>
                <w:i/>
                <w:noProof/>
                <w:webHidden/>
              </w:rPr>
              <w:instrText xml:space="preserve"> PAGEREF _Toc54885937 \h </w:instrText>
            </w:r>
            <w:r w:rsidR="007235DB" w:rsidRPr="00383734">
              <w:rPr>
                <w:i/>
                <w:noProof/>
                <w:webHidden/>
              </w:rPr>
            </w:r>
            <w:r w:rsidR="007235DB" w:rsidRPr="00383734">
              <w:rPr>
                <w:i/>
                <w:noProof/>
                <w:webHidden/>
              </w:rPr>
              <w:fldChar w:fldCharType="separate"/>
            </w:r>
            <w:r w:rsidR="00121707">
              <w:rPr>
                <w:i/>
                <w:noProof/>
                <w:webHidden/>
              </w:rPr>
              <w:t>3</w:t>
            </w:r>
            <w:r w:rsidR="007235DB" w:rsidRPr="00383734">
              <w:rPr>
                <w:i/>
                <w:noProof/>
                <w:webHidden/>
              </w:rPr>
              <w:fldChar w:fldCharType="end"/>
            </w:r>
          </w:hyperlink>
        </w:p>
        <w:p w14:paraId="5E740E61" w14:textId="77777777" w:rsidR="007235DB" w:rsidRPr="00383734" w:rsidRDefault="00DA1C31">
          <w:pPr>
            <w:pStyle w:val="TOC3"/>
            <w:tabs>
              <w:tab w:val="right" w:leader="dot" w:pos="9016"/>
            </w:tabs>
            <w:rPr>
              <w:rFonts w:eastAsiaTheme="minorEastAsia"/>
              <w:i/>
              <w:noProof/>
              <w:lang w:eastAsia="en-GB"/>
            </w:rPr>
          </w:pPr>
          <w:hyperlink w:anchor="_Toc54885938" w:history="1">
            <w:r w:rsidR="007235DB" w:rsidRPr="00383734">
              <w:rPr>
                <w:rStyle w:val="Hyperlink"/>
                <w:i/>
                <w:noProof/>
                <w:lang w:eastAsia="en-GB"/>
              </w:rPr>
              <w:t>I) Real Estate, Private Equity and Hedge Funds: still good for diversification?</w:t>
            </w:r>
            <w:r w:rsidR="007235DB" w:rsidRPr="00383734">
              <w:rPr>
                <w:i/>
                <w:noProof/>
                <w:webHidden/>
              </w:rPr>
              <w:tab/>
            </w:r>
            <w:r w:rsidR="007235DB" w:rsidRPr="00383734">
              <w:rPr>
                <w:i/>
                <w:noProof/>
                <w:webHidden/>
              </w:rPr>
              <w:fldChar w:fldCharType="begin"/>
            </w:r>
            <w:r w:rsidR="007235DB" w:rsidRPr="00383734">
              <w:rPr>
                <w:i/>
                <w:noProof/>
                <w:webHidden/>
              </w:rPr>
              <w:instrText xml:space="preserve"> PAGEREF _Toc54885938 \h </w:instrText>
            </w:r>
            <w:r w:rsidR="007235DB" w:rsidRPr="00383734">
              <w:rPr>
                <w:i/>
                <w:noProof/>
                <w:webHidden/>
              </w:rPr>
            </w:r>
            <w:r w:rsidR="007235DB" w:rsidRPr="00383734">
              <w:rPr>
                <w:i/>
                <w:noProof/>
                <w:webHidden/>
              </w:rPr>
              <w:fldChar w:fldCharType="separate"/>
            </w:r>
            <w:r w:rsidR="00121707">
              <w:rPr>
                <w:i/>
                <w:noProof/>
                <w:webHidden/>
              </w:rPr>
              <w:t>4</w:t>
            </w:r>
            <w:r w:rsidR="007235DB" w:rsidRPr="00383734">
              <w:rPr>
                <w:i/>
                <w:noProof/>
                <w:webHidden/>
              </w:rPr>
              <w:fldChar w:fldCharType="end"/>
            </w:r>
          </w:hyperlink>
        </w:p>
        <w:p w14:paraId="25589015" w14:textId="77777777" w:rsidR="007235DB" w:rsidRPr="00383734" w:rsidRDefault="00DA1C31">
          <w:pPr>
            <w:pStyle w:val="TOC3"/>
            <w:tabs>
              <w:tab w:val="right" w:leader="dot" w:pos="9016"/>
            </w:tabs>
            <w:rPr>
              <w:rFonts w:eastAsiaTheme="minorEastAsia"/>
              <w:i/>
              <w:noProof/>
              <w:lang w:eastAsia="en-GB"/>
            </w:rPr>
          </w:pPr>
          <w:hyperlink w:anchor="_Toc54885939" w:history="1">
            <w:r w:rsidR="007235DB" w:rsidRPr="00383734">
              <w:rPr>
                <w:rStyle w:val="Hyperlink"/>
                <w:i/>
                <w:noProof/>
              </w:rPr>
              <w:t>II) Rise of new asset classes</w:t>
            </w:r>
            <w:r w:rsidR="007235DB" w:rsidRPr="00383734">
              <w:rPr>
                <w:i/>
                <w:noProof/>
                <w:webHidden/>
              </w:rPr>
              <w:tab/>
            </w:r>
            <w:r w:rsidR="007235DB" w:rsidRPr="00383734">
              <w:rPr>
                <w:i/>
                <w:noProof/>
                <w:webHidden/>
              </w:rPr>
              <w:fldChar w:fldCharType="begin"/>
            </w:r>
            <w:r w:rsidR="007235DB" w:rsidRPr="00383734">
              <w:rPr>
                <w:i/>
                <w:noProof/>
                <w:webHidden/>
              </w:rPr>
              <w:instrText xml:space="preserve"> PAGEREF _Toc54885939 \h </w:instrText>
            </w:r>
            <w:r w:rsidR="007235DB" w:rsidRPr="00383734">
              <w:rPr>
                <w:i/>
                <w:noProof/>
                <w:webHidden/>
              </w:rPr>
            </w:r>
            <w:r w:rsidR="007235DB" w:rsidRPr="00383734">
              <w:rPr>
                <w:i/>
                <w:noProof/>
                <w:webHidden/>
              </w:rPr>
              <w:fldChar w:fldCharType="separate"/>
            </w:r>
            <w:r w:rsidR="00121707">
              <w:rPr>
                <w:i/>
                <w:noProof/>
                <w:webHidden/>
              </w:rPr>
              <w:t>5</w:t>
            </w:r>
            <w:r w:rsidR="007235DB" w:rsidRPr="00383734">
              <w:rPr>
                <w:i/>
                <w:noProof/>
                <w:webHidden/>
              </w:rPr>
              <w:fldChar w:fldCharType="end"/>
            </w:r>
          </w:hyperlink>
        </w:p>
        <w:p w14:paraId="519C3E3C" w14:textId="77777777" w:rsidR="007235DB" w:rsidRPr="00383734" w:rsidRDefault="00DA1C31">
          <w:pPr>
            <w:pStyle w:val="TOC3"/>
            <w:tabs>
              <w:tab w:val="right" w:leader="dot" w:pos="9016"/>
            </w:tabs>
            <w:rPr>
              <w:rFonts w:eastAsiaTheme="minorEastAsia"/>
              <w:i/>
              <w:noProof/>
              <w:lang w:eastAsia="en-GB"/>
            </w:rPr>
          </w:pPr>
          <w:hyperlink w:anchor="_Toc54885940" w:history="1">
            <w:r w:rsidR="007235DB" w:rsidRPr="00383734">
              <w:rPr>
                <w:rStyle w:val="Hyperlink"/>
                <w:i/>
                <w:noProof/>
              </w:rPr>
              <w:t>III) Life Insurance Securities</w:t>
            </w:r>
            <w:r w:rsidR="007235DB" w:rsidRPr="00383734">
              <w:rPr>
                <w:i/>
                <w:noProof/>
                <w:webHidden/>
              </w:rPr>
              <w:tab/>
            </w:r>
            <w:r w:rsidR="007235DB" w:rsidRPr="00383734">
              <w:rPr>
                <w:i/>
                <w:noProof/>
                <w:webHidden/>
              </w:rPr>
              <w:fldChar w:fldCharType="begin"/>
            </w:r>
            <w:r w:rsidR="007235DB" w:rsidRPr="00383734">
              <w:rPr>
                <w:i/>
                <w:noProof/>
                <w:webHidden/>
              </w:rPr>
              <w:instrText xml:space="preserve"> PAGEREF _Toc54885940 \h </w:instrText>
            </w:r>
            <w:r w:rsidR="007235DB" w:rsidRPr="00383734">
              <w:rPr>
                <w:i/>
                <w:noProof/>
                <w:webHidden/>
              </w:rPr>
            </w:r>
            <w:r w:rsidR="007235DB" w:rsidRPr="00383734">
              <w:rPr>
                <w:i/>
                <w:noProof/>
                <w:webHidden/>
              </w:rPr>
              <w:fldChar w:fldCharType="separate"/>
            </w:r>
            <w:r w:rsidR="00121707">
              <w:rPr>
                <w:i/>
                <w:noProof/>
                <w:webHidden/>
              </w:rPr>
              <w:t>6</w:t>
            </w:r>
            <w:r w:rsidR="007235DB" w:rsidRPr="00383734">
              <w:rPr>
                <w:i/>
                <w:noProof/>
                <w:webHidden/>
              </w:rPr>
              <w:fldChar w:fldCharType="end"/>
            </w:r>
          </w:hyperlink>
        </w:p>
        <w:p w14:paraId="720C5E02" w14:textId="77777777" w:rsidR="007235DB" w:rsidRPr="00383734" w:rsidRDefault="00DA1C31">
          <w:pPr>
            <w:pStyle w:val="TOC1"/>
            <w:tabs>
              <w:tab w:val="right" w:leader="dot" w:pos="9016"/>
            </w:tabs>
            <w:rPr>
              <w:rFonts w:eastAsiaTheme="minorEastAsia"/>
              <w:i/>
              <w:noProof/>
              <w:lang w:eastAsia="en-GB"/>
            </w:rPr>
          </w:pPr>
          <w:hyperlink w:anchor="_Toc54885941" w:history="1">
            <w:r w:rsidR="007235DB" w:rsidRPr="00383734">
              <w:rPr>
                <w:rStyle w:val="Hyperlink"/>
                <w:i/>
                <w:noProof/>
              </w:rPr>
              <w:t>2) Conclusions</w:t>
            </w:r>
            <w:r w:rsidR="007235DB" w:rsidRPr="00383734">
              <w:rPr>
                <w:i/>
                <w:noProof/>
                <w:webHidden/>
              </w:rPr>
              <w:tab/>
            </w:r>
            <w:r w:rsidR="007235DB" w:rsidRPr="00383734">
              <w:rPr>
                <w:i/>
                <w:noProof/>
                <w:webHidden/>
              </w:rPr>
              <w:fldChar w:fldCharType="begin"/>
            </w:r>
            <w:r w:rsidR="007235DB" w:rsidRPr="00383734">
              <w:rPr>
                <w:i/>
                <w:noProof/>
                <w:webHidden/>
              </w:rPr>
              <w:instrText xml:space="preserve"> PAGEREF _Toc54885941 \h </w:instrText>
            </w:r>
            <w:r w:rsidR="007235DB" w:rsidRPr="00383734">
              <w:rPr>
                <w:i/>
                <w:noProof/>
                <w:webHidden/>
              </w:rPr>
            </w:r>
            <w:r w:rsidR="007235DB" w:rsidRPr="00383734">
              <w:rPr>
                <w:i/>
                <w:noProof/>
                <w:webHidden/>
              </w:rPr>
              <w:fldChar w:fldCharType="separate"/>
            </w:r>
            <w:r w:rsidR="00121707">
              <w:rPr>
                <w:i/>
                <w:noProof/>
                <w:webHidden/>
              </w:rPr>
              <w:t>8</w:t>
            </w:r>
            <w:r w:rsidR="007235DB" w:rsidRPr="00383734">
              <w:rPr>
                <w:i/>
                <w:noProof/>
                <w:webHidden/>
              </w:rPr>
              <w:fldChar w:fldCharType="end"/>
            </w:r>
          </w:hyperlink>
        </w:p>
        <w:p w14:paraId="5F7F673D" w14:textId="77777777" w:rsidR="007235DB" w:rsidRPr="00383734" w:rsidRDefault="00DA1C31" w:rsidP="007235DB">
          <w:pPr>
            <w:pStyle w:val="TOC2"/>
            <w:tabs>
              <w:tab w:val="right" w:leader="dot" w:pos="9016"/>
            </w:tabs>
            <w:ind w:left="0"/>
            <w:rPr>
              <w:rFonts w:eastAsiaTheme="minorEastAsia"/>
              <w:i/>
              <w:noProof/>
              <w:lang w:eastAsia="en-GB"/>
            </w:rPr>
          </w:pPr>
          <w:hyperlink w:anchor="_Toc54885942" w:history="1">
            <w:r w:rsidR="007235DB" w:rsidRPr="00383734">
              <w:rPr>
                <w:rStyle w:val="Hyperlink"/>
                <w:i/>
                <w:noProof/>
              </w:rPr>
              <w:t>Appendix (Main Characteristics of Life Settlements)</w:t>
            </w:r>
            <w:r w:rsidR="007235DB" w:rsidRPr="00383734">
              <w:rPr>
                <w:i/>
                <w:noProof/>
                <w:webHidden/>
              </w:rPr>
              <w:tab/>
            </w:r>
            <w:r w:rsidR="007235DB" w:rsidRPr="00383734">
              <w:rPr>
                <w:i/>
                <w:noProof/>
                <w:webHidden/>
              </w:rPr>
              <w:fldChar w:fldCharType="begin"/>
            </w:r>
            <w:r w:rsidR="007235DB" w:rsidRPr="00383734">
              <w:rPr>
                <w:i/>
                <w:noProof/>
                <w:webHidden/>
              </w:rPr>
              <w:instrText xml:space="preserve"> PAGEREF _Toc54885942 \h </w:instrText>
            </w:r>
            <w:r w:rsidR="007235DB" w:rsidRPr="00383734">
              <w:rPr>
                <w:i/>
                <w:noProof/>
                <w:webHidden/>
              </w:rPr>
            </w:r>
            <w:r w:rsidR="007235DB" w:rsidRPr="00383734">
              <w:rPr>
                <w:i/>
                <w:noProof/>
                <w:webHidden/>
              </w:rPr>
              <w:fldChar w:fldCharType="separate"/>
            </w:r>
            <w:r w:rsidR="00121707">
              <w:rPr>
                <w:i/>
                <w:noProof/>
                <w:webHidden/>
              </w:rPr>
              <w:t>9</w:t>
            </w:r>
            <w:r w:rsidR="007235DB" w:rsidRPr="00383734">
              <w:rPr>
                <w:i/>
                <w:noProof/>
                <w:webHidden/>
              </w:rPr>
              <w:fldChar w:fldCharType="end"/>
            </w:r>
          </w:hyperlink>
        </w:p>
        <w:p w14:paraId="35A87A62" w14:textId="77777777" w:rsidR="007235DB" w:rsidRPr="00383734" w:rsidRDefault="00DA1C31">
          <w:pPr>
            <w:pStyle w:val="TOC1"/>
            <w:tabs>
              <w:tab w:val="right" w:leader="dot" w:pos="9016"/>
            </w:tabs>
            <w:rPr>
              <w:rFonts w:eastAsiaTheme="minorEastAsia"/>
              <w:i/>
              <w:noProof/>
              <w:lang w:eastAsia="en-GB"/>
            </w:rPr>
          </w:pPr>
          <w:hyperlink w:anchor="_Toc54885943" w:history="1">
            <w:r w:rsidR="007235DB" w:rsidRPr="00383734">
              <w:rPr>
                <w:rStyle w:val="Hyperlink"/>
                <w:i/>
                <w:noProof/>
              </w:rPr>
              <w:t>Bibliography</w:t>
            </w:r>
            <w:r w:rsidR="007235DB" w:rsidRPr="00383734">
              <w:rPr>
                <w:i/>
                <w:noProof/>
                <w:webHidden/>
              </w:rPr>
              <w:tab/>
            </w:r>
            <w:r w:rsidR="007235DB" w:rsidRPr="00383734">
              <w:rPr>
                <w:i/>
                <w:noProof/>
                <w:webHidden/>
              </w:rPr>
              <w:fldChar w:fldCharType="begin"/>
            </w:r>
            <w:r w:rsidR="007235DB" w:rsidRPr="00383734">
              <w:rPr>
                <w:i/>
                <w:noProof/>
                <w:webHidden/>
              </w:rPr>
              <w:instrText xml:space="preserve"> PAGEREF _Toc54885943 \h </w:instrText>
            </w:r>
            <w:r w:rsidR="007235DB" w:rsidRPr="00383734">
              <w:rPr>
                <w:i/>
                <w:noProof/>
                <w:webHidden/>
              </w:rPr>
            </w:r>
            <w:r w:rsidR="007235DB" w:rsidRPr="00383734">
              <w:rPr>
                <w:i/>
                <w:noProof/>
                <w:webHidden/>
              </w:rPr>
              <w:fldChar w:fldCharType="separate"/>
            </w:r>
            <w:r w:rsidR="00121707">
              <w:rPr>
                <w:i/>
                <w:noProof/>
                <w:webHidden/>
              </w:rPr>
              <w:t>10</w:t>
            </w:r>
            <w:r w:rsidR="007235DB" w:rsidRPr="00383734">
              <w:rPr>
                <w:i/>
                <w:noProof/>
                <w:webHidden/>
              </w:rPr>
              <w:fldChar w:fldCharType="end"/>
            </w:r>
          </w:hyperlink>
        </w:p>
        <w:p w14:paraId="28D747B5" w14:textId="68648520" w:rsidR="007235DB" w:rsidRPr="00383734" w:rsidRDefault="007235DB">
          <w:pPr>
            <w:rPr>
              <w:i/>
            </w:rPr>
          </w:pPr>
          <w:r w:rsidRPr="00383734">
            <w:rPr>
              <w:b/>
              <w:bCs/>
              <w:i/>
              <w:noProof/>
            </w:rPr>
            <w:fldChar w:fldCharType="end"/>
          </w:r>
        </w:p>
      </w:sdtContent>
    </w:sdt>
    <w:p w14:paraId="132DDD8C" w14:textId="45DBC476" w:rsidR="009840CA" w:rsidRPr="005A742E" w:rsidRDefault="009840CA" w:rsidP="008D7B8D">
      <w:pPr>
        <w:pStyle w:val="NormalWeb"/>
        <w:spacing w:before="0"/>
      </w:pPr>
    </w:p>
    <w:p w14:paraId="61990D4A" w14:textId="77777777" w:rsidR="009840CA" w:rsidRPr="005A742E" w:rsidRDefault="009840CA" w:rsidP="008D7B8D">
      <w:pPr>
        <w:pStyle w:val="NormalWeb"/>
        <w:spacing w:before="0"/>
      </w:pPr>
    </w:p>
    <w:p w14:paraId="65FDCCEE" w14:textId="77777777" w:rsidR="007235DB" w:rsidRDefault="007235DB" w:rsidP="008D7B8D">
      <w:pPr>
        <w:pStyle w:val="NormalWeb"/>
        <w:spacing w:before="0"/>
      </w:pPr>
    </w:p>
    <w:p w14:paraId="7EF1736D" w14:textId="77777777" w:rsidR="007235DB" w:rsidRDefault="007235DB" w:rsidP="008D7B8D">
      <w:pPr>
        <w:pStyle w:val="NormalWeb"/>
        <w:spacing w:before="0"/>
      </w:pPr>
    </w:p>
    <w:p w14:paraId="54ABABFD" w14:textId="77777777" w:rsidR="007235DB" w:rsidRDefault="007235DB" w:rsidP="008D7B8D">
      <w:pPr>
        <w:pStyle w:val="NormalWeb"/>
        <w:spacing w:before="0"/>
      </w:pPr>
    </w:p>
    <w:p w14:paraId="58F1E778" w14:textId="77777777" w:rsidR="007235DB" w:rsidRDefault="007235DB" w:rsidP="008D7B8D">
      <w:pPr>
        <w:pStyle w:val="NormalWeb"/>
        <w:spacing w:before="0"/>
      </w:pPr>
    </w:p>
    <w:p w14:paraId="5349C946" w14:textId="77777777" w:rsidR="007235DB" w:rsidRDefault="007235DB" w:rsidP="008D7B8D">
      <w:pPr>
        <w:pStyle w:val="NormalWeb"/>
        <w:spacing w:before="0"/>
      </w:pPr>
    </w:p>
    <w:p w14:paraId="50BB64BC" w14:textId="77777777" w:rsidR="007235DB" w:rsidRDefault="007235DB" w:rsidP="008D7B8D">
      <w:pPr>
        <w:pStyle w:val="NormalWeb"/>
        <w:spacing w:before="0"/>
      </w:pPr>
    </w:p>
    <w:p w14:paraId="40146620" w14:textId="77777777" w:rsidR="007235DB" w:rsidRDefault="007235DB" w:rsidP="008D7B8D">
      <w:pPr>
        <w:pStyle w:val="NormalWeb"/>
        <w:spacing w:before="0"/>
      </w:pPr>
    </w:p>
    <w:p w14:paraId="699EADB1" w14:textId="77777777" w:rsidR="007235DB" w:rsidRDefault="007235DB" w:rsidP="008D7B8D">
      <w:pPr>
        <w:pStyle w:val="NormalWeb"/>
        <w:spacing w:before="0"/>
      </w:pPr>
    </w:p>
    <w:p w14:paraId="7B8976B9" w14:textId="77777777" w:rsidR="007235DB" w:rsidRPr="005A742E" w:rsidRDefault="007235DB" w:rsidP="008D7B8D">
      <w:pPr>
        <w:pStyle w:val="NormalWeb"/>
        <w:spacing w:before="0"/>
      </w:pPr>
    </w:p>
    <w:p w14:paraId="534A6F5C" w14:textId="77777777" w:rsidR="009840CA" w:rsidRPr="005A742E" w:rsidRDefault="009840CA" w:rsidP="008D7B8D">
      <w:pPr>
        <w:pStyle w:val="NormalWeb"/>
        <w:spacing w:before="0"/>
      </w:pPr>
    </w:p>
    <w:p w14:paraId="699F0BB0" w14:textId="77777777" w:rsidR="009840CA" w:rsidRPr="005A742E" w:rsidRDefault="009840CA" w:rsidP="008D7B8D">
      <w:pPr>
        <w:pStyle w:val="NormalWeb"/>
        <w:spacing w:before="0"/>
      </w:pPr>
    </w:p>
    <w:p w14:paraId="64A98B19" w14:textId="2DA8146A" w:rsidR="00611422" w:rsidRPr="005A742E" w:rsidRDefault="00A863C9" w:rsidP="00526D77">
      <w:pPr>
        <w:pStyle w:val="NormalWeb"/>
        <w:spacing w:before="0"/>
      </w:pPr>
      <w:bookmarkStart w:id="0" w:name="_Toc54885935"/>
      <w:bookmarkStart w:id="1" w:name="_Toc54886029"/>
      <w:r w:rsidRPr="00A423BA">
        <w:rPr>
          <w:rStyle w:val="Heading1Char"/>
          <w:i/>
          <w:color w:val="auto"/>
          <w:u w:val="single"/>
        </w:rPr>
        <w:t>1</w:t>
      </w:r>
      <w:r w:rsidR="00287607" w:rsidRPr="00A423BA">
        <w:rPr>
          <w:rStyle w:val="Heading1Char"/>
          <w:i/>
          <w:color w:val="auto"/>
          <w:u w:val="single"/>
        </w:rPr>
        <w:t xml:space="preserve">) </w:t>
      </w:r>
      <w:r w:rsidR="007B6C26" w:rsidRPr="00A423BA">
        <w:rPr>
          <w:rStyle w:val="Heading1Char"/>
          <w:i/>
          <w:color w:val="auto"/>
          <w:u w:val="single"/>
        </w:rPr>
        <w:t xml:space="preserve">Allocation </w:t>
      </w:r>
      <w:r w:rsidR="00003EE2" w:rsidRPr="00A423BA">
        <w:rPr>
          <w:rStyle w:val="Heading1Char"/>
          <w:i/>
          <w:color w:val="auto"/>
          <w:u w:val="single"/>
        </w:rPr>
        <w:t xml:space="preserve">Trends </w:t>
      </w:r>
      <w:r w:rsidR="007B6C26" w:rsidRPr="00A423BA">
        <w:rPr>
          <w:rStyle w:val="Heading1Char"/>
          <w:i/>
          <w:color w:val="auto"/>
          <w:u w:val="single"/>
        </w:rPr>
        <w:t xml:space="preserve">in Institutional Portfolio </w:t>
      </w:r>
      <w:r w:rsidR="00003EE2" w:rsidRPr="00A423BA">
        <w:rPr>
          <w:rStyle w:val="Heading1Char"/>
          <w:i/>
          <w:color w:val="auto"/>
          <w:u w:val="single"/>
        </w:rPr>
        <w:t>after Covid-19</w:t>
      </w:r>
      <w:r w:rsidR="007B6C26" w:rsidRPr="00A423BA">
        <w:rPr>
          <w:rStyle w:val="Heading1Char"/>
          <w:i/>
          <w:color w:val="auto"/>
          <w:u w:val="single"/>
        </w:rPr>
        <w:t xml:space="preserve"> disruption</w:t>
      </w:r>
      <w:bookmarkEnd w:id="0"/>
      <w:bookmarkEnd w:id="1"/>
      <w:r w:rsidR="00287607" w:rsidRPr="005A742E">
        <w:br/>
      </w:r>
      <w:r w:rsidR="00287607" w:rsidRPr="005A742E">
        <w:br/>
      </w:r>
      <w:r w:rsidR="0026641C" w:rsidRPr="005A742E">
        <w:t xml:space="preserve">Before trying to </w:t>
      </w:r>
      <w:r w:rsidR="00994D27" w:rsidRPr="005A742E">
        <w:t xml:space="preserve">allocate </w:t>
      </w:r>
      <w:r w:rsidR="0026641C" w:rsidRPr="005A742E">
        <w:t>L</w:t>
      </w:r>
      <w:r w:rsidR="005C5000" w:rsidRPr="005A742E">
        <w:t xml:space="preserve">ife </w:t>
      </w:r>
      <w:r w:rsidR="0026641C" w:rsidRPr="005A742E">
        <w:t>S</w:t>
      </w:r>
      <w:r w:rsidR="005C5000" w:rsidRPr="005A742E">
        <w:t>ettlement</w:t>
      </w:r>
      <w:r w:rsidR="0026641C" w:rsidRPr="005A742E">
        <w:t xml:space="preserve"> </w:t>
      </w:r>
      <w:r w:rsidR="00994D27" w:rsidRPr="005A742E">
        <w:t>within</w:t>
      </w:r>
      <w:r w:rsidR="0026641C" w:rsidRPr="005A742E">
        <w:t xml:space="preserve"> a</w:t>
      </w:r>
      <w:r w:rsidR="00131593" w:rsidRPr="005A742E">
        <w:t xml:space="preserve"> specific category of </w:t>
      </w:r>
      <w:r w:rsidR="0026641C" w:rsidRPr="005A742E">
        <w:t>institutional portfolio</w:t>
      </w:r>
      <w:r w:rsidR="00131593" w:rsidRPr="005A742E">
        <w:t>s</w:t>
      </w:r>
      <w:r w:rsidR="0026641C" w:rsidRPr="005A742E">
        <w:t>,</w:t>
      </w:r>
      <w:r w:rsidR="00DA1C31">
        <w:t xml:space="preserve"> it is important to define </w:t>
      </w:r>
      <w:r w:rsidR="00DA1C31" w:rsidRPr="005A742E">
        <w:t>th</w:t>
      </w:r>
      <w:r w:rsidR="00DA1C31">
        <w:t xml:space="preserve">e expected investment trends </w:t>
      </w:r>
      <w:r w:rsidR="00994D27" w:rsidRPr="005A742E">
        <w:t xml:space="preserve">over the course of the next few </w:t>
      </w:r>
      <w:r w:rsidR="00F353D3" w:rsidRPr="005A742E">
        <w:t>years.</w:t>
      </w:r>
      <w:r w:rsidR="00F353D3" w:rsidRPr="005A742E">
        <w:br/>
      </w:r>
      <w:r w:rsidR="0026641C" w:rsidRPr="005A742E">
        <w:t xml:space="preserve">After decades of </w:t>
      </w:r>
      <w:r w:rsidR="00DA4734" w:rsidRPr="005A742E">
        <w:t>succes</w:t>
      </w:r>
      <w:r w:rsidR="005C5000" w:rsidRPr="005A742E">
        <w:t>s</w:t>
      </w:r>
      <w:r w:rsidR="0026641C" w:rsidRPr="005A742E">
        <w:t xml:space="preserve">, Covid-19 crisis showed that the historical 60/40 split </w:t>
      </w:r>
      <w:r w:rsidR="00994D27" w:rsidRPr="005A742E">
        <w:t xml:space="preserve">between </w:t>
      </w:r>
      <w:r w:rsidR="0026641C" w:rsidRPr="005A742E">
        <w:t>equities</w:t>
      </w:r>
      <w:r w:rsidR="00994D27" w:rsidRPr="005A742E">
        <w:t xml:space="preserve"> and </w:t>
      </w:r>
      <w:r w:rsidR="0026641C" w:rsidRPr="005A742E">
        <w:t xml:space="preserve">bonds is </w:t>
      </w:r>
      <w:r w:rsidR="00994D27" w:rsidRPr="005A742E">
        <w:t>no longer able to preserve the consistency of robust returns.</w:t>
      </w:r>
      <w:r w:rsidR="00DA4734" w:rsidRPr="005A742E">
        <w:br/>
      </w:r>
      <w:r w:rsidR="00F353D3" w:rsidRPr="005A742E">
        <w:t xml:space="preserve">Slow economic growth, low or negative interest rates, volatile markets and increasing geopolitical pressures put several issues on the classic 60/40 structure that well served </w:t>
      </w:r>
      <w:r w:rsidR="006F7FD6" w:rsidRPr="005A742E">
        <w:t xml:space="preserve">them </w:t>
      </w:r>
      <w:r w:rsidR="00F353D3" w:rsidRPr="005A742E">
        <w:t>in the last 40 years.</w:t>
      </w:r>
      <w:r w:rsidR="00F353D3" w:rsidRPr="005A742E">
        <w:br/>
      </w:r>
      <w:r w:rsidR="00F353D3" w:rsidRPr="006D63FC">
        <w:t>Both parts of the 60/40 split are going to underperform during this year</w:t>
      </w:r>
      <w:r w:rsidR="00CD181A" w:rsidRPr="006D63FC">
        <w:t xml:space="preserve">: high valuation in equities (forward S&amp;P 500 P/E at 21.7x compared to average historical of 15.4x) and </w:t>
      </w:r>
      <w:r w:rsidR="001948D8" w:rsidRPr="006D63FC">
        <w:t xml:space="preserve">high </w:t>
      </w:r>
      <w:r w:rsidR="00994D27" w:rsidRPr="006D63FC">
        <w:t xml:space="preserve">levels of risks associated with </w:t>
      </w:r>
      <w:r w:rsidR="00784272" w:rsidRPr="006D63FC">
        <w:t>fixed income (low yields may</w:t>
      </w:r>
      <w:r w:rsidR="00CD181A" w:rsidRPr="006D63FC">
        <w:t xml:space="preserve"> lead to big prices changes and big potential losses in inflation rises) could force many investors to rethink their asset a</w:t>
      </w:r>
      <w:r w:rsidR="005C1D37" w:rsidRPr="006D63FC">
        <w:t xml:space="preserve">llocation </w:t>
      </w:r>
      <w:r w:rsidR="00784272" w:rsidRPr="006D63FC">
        <w:t>soon</w:t>
      </w:r>
      <w:r w:rsidR="006D63FC">
        <w:t>.</w:t>
      </w:r>
      <w:r w:rsidR="006D63FC" w:rsidRPr="00C87CA5">
        <w:rPr>
          <w:rStyle w:val="acopre"/>
          <w:sz w:val="22"/>
          <w:vertAlign w:val="superscript"/>
        </w:rPr>
        <w:t>1</w:t>
      </w:r>
      <w:r w:rsidR="00611422" w:rsidRPr="005A742E">
        <w:br/>
      </w:r>
      <w:r w:rsidR="00611422" w:rsidRPr="005A742E">
        <w:br/>
      </w:r>
      <w:r w:rsidR="00611422" w:rsidRPr="005A742E">
        <w:rPr>
          <w:noProof/>
        </w:rPr>
        <w:drawing>
          <wp:inline distT="0" distB="0" distL="0" distR="0" wp14:anchorId="39F6E483" wp14:editId="4FA94816">
            <wp:extent cx="4096512" cy="278940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3549" cy="279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588D8" w14:textId="62C25751" w:rsidR="00AD14A6" w:rsidRPr="005A742E" w:rsidRDefault="00291A3E" w:rsidP="00AD14A6">
      <w:pPr>
        <w:pStyle w:val="NormalWeb"/>
        <w:spacing w:before="0"/>
      </w:pPr>
      <w:r w:rsidRPr="005A742E">
        <w:br/>
      </w:r>
      <w:r w:rsidR="0063211A" w:rsidRPr="005A742E">
        <w:t>M</w:t>
      </w:r>
      <w:r w:rsidR="00AD7E9A" w:rsidRPr="005A742E">
        <w:t xml:space="preserve">ost investors won’t </w:t>
      </w:r>
      <w:r w:rsidR="008D7B8D" w:rsidRPr="005A742E">
        <w:t xml:space="preserve">reduce their </w:t>
      </w:r>
      <w:r w:rsidR="00994D27" w:rsidRPr="005A742E">
        <w:t>equity allocation any time</w:t>
      </w:r>
      <w:r w:rsidR="00AD7E9A" w:rsidRPr="005A742E">
        <w:t xml:space="preserve"> </w:t>
      </w:r>
      <w:r w:rsidR="00994D27" w:rsidRPr="005A742E">
        <w:t xml:space="preserve">soon. It is therefore </w:t>
      </w:r>
      <w:r w:rsidR="00E71D15" w:rsidRPr="005A742E">
        <w:t xml:space="preserve">reasonable to </w:t>
      </w:r>
      <w:r w:rsidR="00994D27" w:rsidRPr="005A742E">
        <w:t xml:space="preserve">assume </w:t>
      </w:r>
      <w:r w:rsidR="00E71D15" w:rsidRPr="005A742E">
        <w:t>that</w:t>
      </w:r>
      <w:r w:rsidR="00994D27" w:rsidRPr="005A742E">
        <w:t xml:space="preserve"> it is the</w:t>
      </w:r>
      <w:r w:rsidR="00E71D15" w:rsidRPr="005A742E">
        <w:t xml:space="preserve"> fixed income </w:t>
      </w:r>
      <w:r w:rsidR="00994D27" w:rsidRPr="005A742E">
        <w:t xml:space="preserve">that </w:t>
      </w:r>
      <w:r w:rsidR="00E71D15" w:rsidRPr="005A742E">
        <w:t xml:space="preserve">will see its portion </w:t>
      </w:r>
      <w:r w:rsidR="00994D27" w:rsidRPr="005A742E">
        <w:t xml:space="preserve">within the </w:t>
      </w:r>
      <w:r w:rsidR="00E71D15" w:rsidRPr="005A742E">
        <w:t xml:space="preserve">portfolio </w:t>
      </w:r>
      <w:r w:rsidR="00994D27" w:rsidRPr="005A742E">
        <w:t>being</w:t>
      </w:r>
      <w:r w:rsidR="00E0652E" w:rsidRPr="005A742E">
        <w:t xml:space="preserve"> downsized</w:t>
      </w:r>
      <w:r w:rsidR="00EE1EAA" w:rsidRPr="005A742E">
        <w:t>.</w:t>
      </w:r>
      <w:r w:rsidR="00E71D15" w:rsidRPr="005A742E">
        <w:br/>
      </w:r>
      <w:r w:rsidR="00994D27" w:rsidRPr="005A742E">
        <w:lastRenderedPageBreak/>
        <w:t>There</w:t>
      </w:r>
      <w:r w:rsidR="00AD7E9A" w:rsidRPr="005A742E">
        <w:t xml:space="preserve"> are two main schools of </w:t>
      </w:r>
      <w:r w:rsidR="00195F33" w:rsidRPr="005A742E">
        <w:t>thought</w:t>
      </w:r>
      <w:r w:rsidR="00AD7E9A" w:rsidRPr="005A742E">
        <w:t xml:space="preserve"> </w:t>
      </w:r>
      <w:r w:rsidR="00994D27" w:rsidRPr="005A742E">
        <w:t xml:space="preserve">that tend to dominate </w:t>
      </w:r>
      <w:r w:rsidR="00AD7E9A" w:rsidRPr="005A742E">
        <w:t xml:space="preserve">across the markets: </w:t>
      </w:r>
      <w:r w:rsidR="00994D27" w:rsidRPr="005A742E">
        <w:t xml:space="preserve">to either </w:t>
      </w:r>
      <w:r w:rsidR="00AD7E9A" w:rsidRPr="005A742E">
        <w:t xml:space="preserve">find fixed income </w:t>
      </w:r>
      <w:r w:rsidR="00994D27" w:rsidRPr="005A742E">
        <w:t xml:space="preserve">alternatives </w:t>
      </w:r>
      <w:r w:rsidR="00E71D15" w:rsidRPr="005A742E">
        <w:t xml:space="preserve">in order to replace </w:t>
      </w:r>
      <w:r w:rsidR="008C78B1" w:rsidRPr="005A742E">
        <w:t>traditional ones consistently</w:t>
      </w:r>
      <w:r w:rsidR="00E71D15" w:rsidRPr="005A742E">
        <w:t xml:space="preserve"> </w:t>
      </w:r>
      <w:r w:rsidR="00AD7E9A" w:rsidRPr="005A742E">
        <w:t xml:space="preserve">or </w:t>
      </w:r>
      <w:r w:rsidR="008C78B1" w:rsidRPr="005A742E">
        <w:t xml:space="preserve">to </w:t>
      </w:r>
      <w:r w:rsidR="00AD7E9A" w:rsidRPr="005A742E">
        <w:t xml:space="preserve">increase </w:t>
      </w:r>
      <w:r w:rsidR="00E71D15" w:rsidRPr="005A742E">
        <w:t xml:space="preserve">overall portfolio </w:t>
      </w:r>
      <w:r w:rsidR="00AD7E9A" w:rsidRPr="005A742E">
        <w:t xml:space="preserve">allocation to </w:t>
      </w:r>
      <w:r w:rsidR="00E71D15" w:rsidRPr="005A742E">
        <w:t>alternative</w:t>
      </w:r>
      <w:r w:rsidR="008C78B1" w:rsidRPr="005A742E">
        <w:t>s</w:t>
      </w:r>
      <w:r w:rsidR="00A710C3" w:rsidRPr="005A742E">
        <w:t xml:space="preserve"> as such.</w:t>
      </w:r>
    </w:p>
    <w:p w14:paraId="5313ECEB" w14:textId="609F851B" w:rsidR="00C84892" w:rsidRPr="005A742E" w:rsidRDefault="008E6A45" w:rsidP="00AD14A6">
      <w:pPr>
        <w:pStyle w:val="NormalWeb"/>
        <w:spacing w:before="0"/>
        <w:rPr>
          <w:b/>
          <w:u w:val="single"/>
        </w:rPr>
      </w:pPr>
      <w:r w:rsidRPr="005A742E">
        <w:br/>
      </w:r>
      <w:bookmarkStart w:id="2" w:name="_Toc54885936"/>
      <w:bookmarkStart w:id="3" w:name="_Toc54886030"/>
      <w:r w:rsidR="00287607" w:rsidRPr="00A423BA">
        <w:rPr>
          <w:rStyle w:val="Heading2Char"/>
          <w:i/>
          <w:color w:val="auto"/>
          <w:sz w:val="28"/>
          <w:u w:val="single"/>
        </w:rPr>
        <w:t>a) Fixed Income</w:t>
      </w:r>
      <w:bookmarkEnd w:id="2"/>
      <w:bookmarkEnd w:id="3"/>
      <w:r w:rsidR="00287607" w:rsidRPr="005A742E">
        <w:rPr>
          <w:b/>
          <w:u w:val="single"/>
        </w:rPr>
        <w:br/>
      </w:r>
      <w:r w:rsidR="00287607" w:rsidRPr="005A742E">
        <w:br/>
      </w:r>
      <w:r w:rsidR="00681E7E" w:rsidRPr="005A742E">
        <w:t>Fixed income h</w:t>
      </w:r>
      <w:r w:rsidR="00996860" w:rsidRPr="005A742E">
        <w:t>as always been an</w:t>
      </w:r>
      <w:r w:rsidR="00615828" w:rsidRPr="005A742E">
        <w:t xml:space="preserve"> important </w:t>
      </w:r>
      <w:r w:rsidR="008C78B1" w:rsidRPr="005A742E">
        <w:t xml:space="preserve">part </w:t>
      </w:r>
      <w:r w:rsidR="00681E7E" w:rsidRPr="005A742E">
        <w:t xml:space="preserve">of </w:t>
      </w:r>
      <w:r w:rsidR="002F60AE" w:rsidRPr="005A742E">
        <w:t xml:space="preserve">the </w:t>
      </w:r>
      <w:r w:rsidR="00996860" w:rsidRPr="005A742E">
        <w:t>investor’s</w:t>
      </w:r>
      <w:r w:rsidR="00681E7E" w:rsidRPr="005A742E">
        <w:t xml:space="preserve"> </w:t>
      </w:r>
      <w:r w:rsidR="00A710C3" w:rsidRPr="005A742E">
        <w:t xml:space="preserve">portfolios, particularly due to </w:t>
      </w:r>
      <w:r w:rsidR="00982E87" w:rsidRPr="005A742E">
        <w:t>the</w:t>
      </w:r>
      <w:r w:rsidR="00FD6E4F" w:rsidRPr="005A742E">
        <w:t xml:space="preserve"> </w:t>
      </w:r>
      <w:r w:rsidR="00A710C3" w:rsidRPr="005A742E">
        <w:t>bond’s historically low</w:t>
      </w:r>
      <w:r w:rsidR="00681E7E" w:rsidRPr="005A742E">
        <w:t xml:space="preserve"> volatility and tendency to rise in value during times of </w:t>
      </w:r>
      <w:r w:rsidR="00C4266C" w:rsidRPr="005A742E">
        <w:t xml:space="preserve">market </w:t>
      </w:r>
      <w:r w:rsidR="00A710C3" w:rsidRPr="005A742E">
        <w:t>di</w:t>
      </w:r>
      <w:r w:rsidR="00681E7E" w:rsidRPr="005A742E">
        <w:t>stress</w:t>
      </w:r>
      <w:r w:rsidR="00982E87" w:rsidRPr="005A742E">
        <w:t>.COVID</w:t>
      </w:r>
      <w:r w:rsidR="00681E7E" w:rsidRPr="005A742E">
        <w:t xml:space="preserve">-19 crises and </w:t>
      </w:r>
      <w:r w:rsidR="009C04A0" w:rsidRPr="005A742E">
        <w:t xml:space="preserve">its </w:t>
      </w:r>
      <w:r w:rsidR="00681E7E" w:rsidRPr="005A742E">
        <w:t xml:space="preserve">huge effect on stock markets </w:t>
      </w:r>
      <w:r w:rsidR="008C78B1" w:rsidRPr="005A742E">
        <w:t xml:space="preserve">have caused </w:t>
      </w:r>
      <w:r w:rsidR="009C04A0" w:rsidRPr="005A742E">
        <w:t xml:space="preserve">main central banks </w:t>
      </w:r>
      <w:r w:rsidR="00195F33" w:rsidRPr="005A742E">
        <w:t>to create</w:t>
      </w:r>
      <w:r w:rsidR="008C78B1" w:rsidRPr="005A742E">
        <w:t xml:space="preserve"> new </w:t>
      </w:r>
      <w:r w:rsidR="008C78B1" w:rsidRPr="005A742E">
        <w:rPr>
          <w:szCs w:val="22"/>
        </w:rPr>
        <w:t>unprecedented levels of liquidity</w:t>
      </w:r>
      <w:r w:rsidR="009C04A0" w:rsidRPr="005A742E">
        <w:t xml:space="preserve">, </w:t>
      </w:r>
      <w:r w:rsidR="008C78B1" w:rsidRPr="005A742E">
        <w:t xml:space="preserve">dumping </w:t>
      </w:r>
      <w:r w:rsidR="009C04A0" w:rsidRPr="005A742E">
        <w:t xml:space="preserve">interest rates to zero </w:t>
      </w:r>
      <w:r w:rsidR="007F1F75" w:rsidRPr="005A742E">
        <w:t>and below.</w:t>
      </w:r>
      <w:r w:rsidR="00982E87" w:rsidRPr="005A742E">
        <w:t xml:space="preserve"> </w:t>
      </w:r>
      <w:r w:rsidR="007F1F75" w:rsidRPr="005A742E">
        <w:t xml:space="preserve">What is more worrisome is that </w:t>
      </w:r>
      <w:r w:rsidR="00681E7E" w:rsidRPr="005A742E">
        <w:t xml:space="preserve">US T-Bonds, </w:t>
      </w:r>
      <w:r w:rsidR="00982E87" w:rsidRPr="005A742E">
        <w:t xml:space="preserve">traditionally </w:t>
      </w:r>
      <w:r w:rsidR="00681E7E" w:rsidRPr="005A742E">
        <w:t xml:space="preserve">considered </w:t>
      </w:r>
      <w:r w:rsidR="008C78B1" w:rsidRPr="005A742E">
        <w:t>to be</w:t>
      </w:r>
      <w:r w:rsidR="00681E7E" w:rsidRPr="005A742E">
        <w:t xml:space="preserve"> the risk free </w:t>
      </w:r>
      <w:r w:rsidR="00001A6B" w:rsidRPr="005A742E">
        <w:t xml:space="preserve">asset, have </w:t>
      </w:r>
      <w:r w:rsidR="007F1F75" w:rsidRPr="005A742E">
        <w:t xml:space="preserve">also </w:t>
      </w:r>
      <w:r w:rsidR="00001A6B" w:rsidRPr="005A742E">
        <w:t xml:space="preserve">seen a rapid fall </w:t>
      </w:r>
      <w:r w:rsidR="00681E7E" w:rsidRPr="005A742E">
        <w:t>in price</w:t>
      </w:r>
      <w:r w:rsidR="00982E87" w:rsidRPr="005A742E">
        <w:t>s</w:t>
      </w:r>
      <w:r w:rsidR="00681E7E" w:rsidRPr="005A742E">
        <w:t xml:space="preserve"> during</w:t>
      </w:r>
      <w:r w:rsidR="007F1F75" w:rsidRPr="005A742E">
        <w:t xml:space="preserve"> dual</w:t>
      </w:r>
      <w:r w:rsidR="00681E7E" w:rsidRPr="005A742E">
        <w:t xml:space="preserve"> March 2020</w:t>
      </w:r>
      <w:r w:rsidR="007F1F75" w:rsidRPr="005A742E">
        <w:t xml:space="preserve"> selloff</w:t>
      </w:r>
      <w:r w:rsidR="00681E7E" w:rsidRPr="005A742E">
        <w:t>.</w:t>
      </w:r>
      <w:r w:rsidR="007F1F75" w:rsidRPr="005A742E">
        <w:t xml:space="preserve"> Indeed the failure of Treasuries to serve as a hedge during times of major economic distress has pushed investors to further question the 60-40 portfolio model.</w:t>
      </w:r>
      <w:r w:rsidR="00681E7E" w:rsidRPr="005A742E">
        <w:br/>
      </w:r>
      <w:r w:rsidR="000F421E" w:rsidRPr="005A742E">
        <w:t xml:space="preserve">Moreover, </w:t>
      </w:r>
      <w:r w:rsidR="009C04A0" w:rsidRPr="005A742E">
        <w:t xml:space="preserve">the fact that </w:t>
      </w:r>
      <w:r w:rsidR="000F421E" w:rsidRPr="005A742E">
        <w:t xml:space="preserve">interest rates seem </w:t>
      </w:r>
      <w:r w:rsidR="00674711" w:rsidRPr="005A742E">
        <w:t>to remain stagnant</w:t>
      </w:r>
      <w:r w:rsidR="00D8290F" w:rsidRPr="005A742E">
        <w:t xml:space="preserve"> in a </w:t>
      </w:r>
      <w:r w:rsidR="009C04A0" w:rsidRPr="005A742E">
        <w:t>medium</w:t>
      </w:r>
      <w:r w:rsidR="00D8290F" w:rsidRPr="005A742E">
        <w:t xml:space="preserve"> term perspective, </w:t>
      </w:r>
      <w:r w:rsidR="009C04A0" w:rsidRPr="005A742E">
        <w:t xml:space="preserve">is making </w:t>
      </w:r>
      <w:r w:rsidR="00D8290F" w:rsidRPr="005A742E">
        <w:t xml:space="preserve">bonds particularly sensitive to inflation </w:t>
      </w:r>
      <w:r w:rsidR="00674711" w:rsidRPr="005A742E">
        <w:t>therefore increasing their risk</w:t>
      </w:r>
      <w:r w:rsidR="00D8290F" w:rsidRPr="005A742E">
        <w:t>.</w:t>
      </w:r>
      <w:r w:rsidR="00C84892" w:rsidRPr="005A742E">
        <w:br/>
      </w:r>
      <w:r w:rsidR="00C84892" w:rsidRPr="005A742E">
        <w:br/>
      </w:r>
      <w:r w:rsidR="00C84892" w:rsidRPr="005A742E">
        <w:rPr>
          <w:noProof/>
        </w:rPr>
        <w:drawing>
          <wp:inline distT="0" distB="0" distL="0" distR="0" wp14:anchorId="2C3F4D4F" wp14:editId="138596F6">
            <wp:extent cx="4784141" cy="2354438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9490" cy="236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4E03E" w14:textId="77777777" w:rsidR="0094594E" w:rsidRDefault="00D8290F" w:rsidP="00A657FE">
      <w:pPr>
        <w:pStyle w:val="NormalWeb"/>
        <w:spacing w:before="0" w:beforeAutospacing="0" w:after="0" w:afterAutospacing="0"/>
      </w:pPr>
      <w:r w:rsidRPr="005A742E">
        <w:t xml:space="preserve">In this context, </w:t>
      </w:r>
      <w:r w:rsidR="0094594E" w:rsidRPr="005A742E">
        <w:t>new categories of</w:t>
      </w:r>
      <w:r w:rsidRPr="005A742E">
        <w:t xml:space="preserve"> </w:t>
      </w:r>
      <w:r w:rsidR="002C19AB" w:rsidRPr="005A742E">
        <w:t>alternative investments (particularly liquid ones)</w:t>
      </w:r>
      <w:r w:rsidRPr="005A742E">
        <w:t xml:space="preserve"> </w:t>
      </w:r>
      <w:r w:rsidR="0094594E" w:rsidRPr="005A742E">
        <w:t xml:space="preserve">have been designed </w:t>
      </w:r>
      <w:r w:rsidRPr="005A742E">
        <w:t>as a potential alte</w:t>
      </w:r>
      <w:r w:rsidR="005F2207" w:rsidRPr="005A742E">
        <w:t>rnative for fixed income</w:t>
      </w:r>
      <w:r w:rsidR="0094594E" w:rsidRPr="005A742E">
        <w:t xml:space="preserve"> due to the</w:t>
      </w:r>
      <w:r w:rsidRPr="005A742E">
        <w:t xml:space="preserve"> attractive yields and the </w:t>
      </w:r>
      <w:r w:rsidR="0094594E" w:rsidRPr="005A742E">
        <w:t>diversification benefit</w:t>
      </w:r>
      <w:r w:rsidR="007F1F75" w:rsidRPr="005A742E">
        <w:t>s</w:t>
      </w:r>
      <w:r w:rsidR="0094594E" w:rsidRPr="005A742E">
        <w:t xml:space="preserve"> </w:t>
      </w:r>
      <w:r w:rsidR="007F1F75" w:rsidRPr="005A742E">
        <w:t>that seem</w:t>
      </w:r>
      <w:r w:rsidRPr="005A742E">
        <w:t xml:space="preserve"> to match the </w:t>
      </w:r>
      <w:r w:rsidR="002C19AB" w:rsidRPr="005A742E">
        <w:t>historical</w:t>
      </w:r>
      <w:r w:rsidRPr="005A742E">
        <w:t xml:space="preserve"> characteristics of bonds.</w:t>
      </w:r>
      <w:r w:rsidR="00DD1C7B" w:rsidRPr="005A742E">
        <w:t xml:space="preserve"> </w:t>
      </w:r>
      <w:r w:rsidR="005F2207" w:rsidRPr="005A742E">
        <w:br/>
      </w:r>
      <w:r w:rsidR="0094594E" w:rsidRPr="005A742E">
        <w:t>Indeed the mechanics of such</w:t>
      </w:r>
      <w:r w:rsidR="002C19AB" w:rsidRPr="005A742E">
        <w:t xml:space="preserve"> alternative instruments</w:t>
      </w:r>
      <w:r w:rsidR="0094594E" w:rsidRPr="005A742E">
        <w:t xml:space="preserve">, </w:t>
      </w:r>
      <w:r w:rsidR="007F1F75" w:rsidRPr="005A742E">
        <w:t>particularly cat</w:t>
      </w:r>
      <w:r w:rsidR="002C19AB" w:rsidRPr="005A742E">
        <w:t xml:space="preserve"> </w:t>
      </w:r>
      <w:r w:rsidR="0094594E" w:rsidRPr="005A742E">
        <w:t>bonds, life</w:t>
      </w:r>
      <w:r w:rsidR="00DD1C7B" w:rsidRPr="005A742E">
        <w:t xml:space="preserve"> </w:t>
      </w:r>
      <w:r w:rsidR="0094594E" w:rsidRPr="005A742E">
        <w:t>settlements, or annuities</w:t>
      </w:r>
      <w:r w:rsidR="00DD1C7B" w:rsidRPr="005A742E">
        <w:t xml:space="preserve"> clearly reminds </w:t>
      </w:r>
      <w:r w:rsidR="0094594E" w:rsidRPr="005A742E">
        <w:t xml:space="preserve">the one </w:t>
      </w:r>
      <w:r w:rsidR="007F1F75" w:rsidRPr="005A742E">
        <w:t>of the</w:t>
      </w:r>
      <w:r w:rsidR="002C19AB" w:rsidRPr="005A742E">
        <w:t xml:space="preserve"> </w:t>
      </w:r>
      <w:r w:rsidR="00DD1C7B" w:rsidRPr="005A742E">
        <w:t xml:space="preserve"> bond</w:t>
      </w:r>
      <w:r w:rsidR="0094594E" w:rsidRPr="005A742E">
        <w:t>’</w:t>
      </w:r>
      <w:r w:rsidR="002C19AB" w:rsidRPr="005A742E">
        <w:t>s</w:t>
      </w:r>
      <w:r w:rsidR="00DD1C7B" w:rsidRPr="005A742E">
        <w:t xml:space="preserve">: there is </w:t>
      </w:r>
      <w:r w:rsidR="0094594E" w:rsidRPr="005A742E">
        <w:t xml:space="preserve">initial </w:t>
      </w:r>
      <w:r w:rsidR="00DD1C7B" w:rsidRPr="005A742E">
        <w:t xml:space="preserve">purchase </w:t>
      </w:r>
      <w:r w:rsidR="0094594E" w:rsidRPr="005A742E">
        <w:t>price which is based on DCF</w:t>
      </w:r>
      <w:r w:rsidR="007F1F75" w:rsidRPr="005A742E">
        <w:t xml:space="preserve"> model</w:t>
      </w:r>
      <w:r w:rsidR="00DD1C7B" w:rsidRPr="005A742E">
        <w:t xml:space="preserve">, premiums to be paid during the </w:t>
      </w:r>
      <w:r w:rsidR="00C76C47" w:rsidRPr="005A742E">
        <w:t>course life</w:t>
      </w:r>
      <w:r w:rsidR="0094594E" w:rsidRPr="005A742E">
        <w:t xml:space="preserve"> of </w:t>
      </w:r>
      <w:r w:rsidR="00C76C47" w:rsidRPr="005A742E">
        <w:t>a contract</w:t>
      </w:r>
      <w:r w:rsidR="00DD1C7B" w:rsidRPr="005A742E">
        <w:t xml:space="preserve"> </w:t>
      </w:r>
      <w:r w:rsidR="0094594E" w:rsidRPr="005A742E">
        <w:t xml:space="preserve">and </w:t>
      </w:r>
      <w:r w:rsidR="00DD1C7B" w:rsidRPr="005A742E">
        <w:t xml:space="preserve">a </w:t>
      </w:r>
      <w:r w:rsidR="0094594E" w:rsidRPr="005A742E">
        <w:t>set face</w:t>
      </w:r>
      <w:r w:rsidR="00DD1C7B" w:rsidRPr="005A742E">
        <w:t xml:space="preserve"> value </w:t>
      </w:r>
      <w:r w:rsidR="0094594E" w:rsidRPr="005A742E">
        <w:t>at the</w:t>
      </w:r>
      <w:r w:rsidR="00DD1C7B" w:rsidRPr="005A742E">
        <w:t xml:space="preserve"> maturity</w:t>
      </w:r>
      <w:r w:rsidR="0094594E" w:rsidRPr="005A742E">
        <w:t>.</w:t>
      </w:r>
    </w:p>
    <w:p w14:paraId="7116BC83" w14:textId="77777777" w:rsidR="00A657FE" w:rsidRPr="005A742E" w:rsidRDefault="00A657FE" w:rsidP="00A657FE">
      <w:pPr>
        <w:pStyle w:val="NormalWeb"/>
        <w:spacing w:before="0" w:beforeAutospacing="0" w:after="0" w:afterAutospacing="0"/>
      </w:pPr>
    </w:p>
    <w:p w14:paraId="24CB8171" w14:textId="77777777" w:rsidR="00C76C47" w:rsidRDefault="00EF59C8" w:rsidP="00A657FE">
      <w:pPr>
        <w:spacing w:after="0"/>
        <w:rPr>
          <w:rFonts w:ascii="Times New Roman" w:hAnsi="Times New Roman" w:cs="Times New Roman"/>
          <w:sz w:val="24"/>
        </w:rPr>
      </w:pPr>
      <w:r w:rsidRPr="005A742E">
        <w:rPr>
          <w:rFonts w:ascii="Times New Roman" w:hAnsi="Times New Roman" w:cs="Times New Roman"/>
          <w:sz w:val="24"/>
        </w:rPr>
        <w:t xml:space="preserve">However the risk - </w:t>
      </w:r>
      <w:r w:rsidR="0094594E" w:rsidRPr="005A742E">
        <w:rPr>
          <w:rFonts w:ascii="Times New Roman" w:hAnsi="Times New Roman" w:cs="Times New Roman"/>
          <w:sz w:val="24"/>
        </w:rPr>
        <w:t>return profile</w:t>
      </w:r>
      <w:r w:rsidR="00386037" w:rsidRPr="005A742E">
        <w:rPr>
          <w:rFonts w:ascii="Times New Roman" w:hAnsi="Times New Roman" w:cs="Times New Roman"/>
          <w:sz w:val="24"/>
        </w:rPr>
        <w:t>, market size and liquidity remain</w:t>
      </w:r>
      <w:r w:rsidR="0094594E" w:rsidRPr="005A742E">
        <w:rPr>
          <w:rFonts w:ascii="Times New Roman" w:hAnsi="Times New Roman" w:cs="Times New Roman"/>
          <w:sz w:val="24"/>
        </w:rPr>
        <w:t xml:space="preserve"> to be </w:t>
      </w:r>
      <w:r w:rsidRPr="005A742E">
        <w:rPr>
          <w:rFonts w:ascii="Times New Roman" w:hAnsi="Times New Roman" w:cs="Times New Roman"/>
          <w:sz w:val="24"/>
        </w:rPr>
        <w:t xml:space="preserve">very different from traditional fixed income instruments. The underlying </w:t>
      </w:r>
      <w:r w:rsidR="00386037" w:rsidRPr="005A742E">
        <w:rPr>
          <w:rFonts w:ascii="Times New Roman" w:hAnsi="Times New Roman" w:cs="Times New Roman"/>
          <w:sz w:val="24"/>
        </w:rPr>
        <w:t xml:space="preserve">variable is unique, which is exactly what </w:t>
      </w:r>
      <w:r w:rsidR="00C76C47" w:rsidRPr="005A742E">
        <w:rPr>
          <w:rFonts w:ascii="Times New Roman" w:hAnsi="Times New Roman" w:cs="Times New Roman"/>
          <w:sz w:val="24"/>
        </w:rPr>
        <w:t>turns</w:t>
      </w:r>
      <w:r w:rsidR="00386037" w:rsidRPr="005A742E">
        <w:rPr>
          <w:rFonts w:ascii="Times New Roman" w:hAnsi="Times New Roman" w:cs="Times New Roman"/>
          <w:sz w:val="24"/>
        </w:rPr>
        <w:t xml:space="preserve"> those asset</w:t>
      </w:r>
      <w:r w:rsidR="00C76C47" w:rsidRPr="005A742E">
        <w:rPr>
          <w:rFonts w:ascii="Times New Roman" w:hAnsi="Times New Roman" w:cs="Times New Roman"/>
          <w:sz w:val="24"/>
        </w:rPr>
        <w:t>s</w:t>
      </w:r>
      <w:r w:rsidR="00386037" w:rsidRPr="005A742E">
        <w:rPr>
          <w:rFonts w:ascii="Times New Roman" w:hAnsi="Times New Roman" w:cs="Times New Roman"/>
          <w:sz w:val="24"/>
        </w:rPr>
        <w:t xml:space="preserve"> </w:t>
      </w:r>
      <w:r w:rsidR="00C76C47" w:rsidRPr="005A742E">
        <w:rPr>
          <w:rFonts w:ascii="Times New Roman" w:hAnsi="Times New Roman" w:cs="Times New Roman"/>
          <w:sz w:val="24"/>
        </w:rPr>
        <w:t>into a new hedging solution, sought after by pension funds, sovereigns funds and insurance companies.</w:t>
      </w:r>
    </w:p>
    <w:p w14:paraId="2FD3003F" w14:textId="77777777" w:rsidR="00A423BA" w:rsidRPr="005A742E" w:rsidRDefault="00A423BA" w:rsidP="00A657FE">
      <w:pPr>
        <w:spacing w:after="0"/>
        <w:rPr>
          <w:rFonts w:ascii="Times New Roman" w:hAnsi="Times New Roman" w:cs="Times New Roman"/>
          <w:sz w:val="24"/>
        </w:rPr>
      </w:pPr>
    </w:p>
    <w:p w14:paraId="2C76272A" w14:textId="6AA5A501" w:rsidR="00B041D2" w:rsidRDefault="00287607" w:rsidP="00996CDD">
      <w:pPr>
        <w:pStyle w:val="NormalWeb"/>
        <w:spacing w:before="0" w:beforeAutospacing="0" w:after="0" w:afterAutospacing="0"/>
      </w:pPr>
      <w:bookmarkStart w:id="4" w:name="_Toc54885937"/>
      <w:bookmarkStart w:id="5" w:name="_Toc54886031"/>
      <w:r w:rsidRPr="00A423BA">
        <w:rPr>
          <w:rStyle w:val="Heading2Char"/>
          <w:i/>
          <w:color w:val="auto"/>
          <w:sz w:val="28"/>
          <w:u w:val="single"/>
        </w:rPr>
        <w:t>b) Alternative Investments</w:t>
      </w:r>
      <w:bookmarkEnd w:id="4"/>
      <w:bookmarkEnd w:id="5"/>
      <w:r w:rsidR="00E04B5C" w:rsidRPr="005A742E">
        <w:rPr>
          <w:b/>
          <w:u w:val="single"/>
        </w:rPr>
        <w:br/>
      </w:r>
      <w:r w:rsidR="00E04B5C" w:rsidRPr="005A742E">
        <w:rPr>
          <w:b/>
          <w:u w:val="single"/>
        </w:rPr>
        <w:br/>
      </w:r>
      <w:r w:rsidR="00E04B5C" w:rsidRPr="005A742E">
        <w:t xml:space="preserve">In the last few years, we </w:t>
      </w:r>
      <w:r w:rsidR="000F3B7F" w:rsidRPr="005A742E">
        <w:t xml:space="preserve">have </w:t>
      </w:r>
      <w:r w:rsidR="00E04B5C" w:rsidRPr="005A742E">
        <w:t xml:space="preserve">assisted to </w:t>
      </w:r>
      <w:r w:rsidR="00674711" w:rsidRPr="005A742E">
        <w:t xml:space="preserve">the </w:t>
      </w:r>
      <w:r w:rsidR="000F3B7F" w:rsidRPr="005A742E">
        <w:t xml:space="preserve">constant increase of alternative investments </w:t>
      </w:r>
      <w:r w:rsidR="00674711" w:rsidRPr="005A742E">
        <w:t>as a % of total portfolio allocation</w:t>
      </w:r>
      <w:r w:rsidR="000F3B7F" w:rsidRPr="005A742E">
        <w:t xml:space="preserve">. </w:t>
      </w:r>
      <w:r w:rsidR="000F3B7F" w:rsidRPr="007F2106">
        <w:t xml:space="preserve">The ‘democratization of alternatives’ is a process that </w:t>
      </w:r>
      <w:r w:rsidR="00674711" w:rsidRPr="007F2106">
        <w:t xml:space="preserve">has started in 2009, whereby </w:t>
      </w:r>
      <w:r w:rsidR="000F3B7F" w:rsidRPr="007F2106">
        <w:t xml:space="preserve">low </w:t>
      </w:r>
      <w:r w:rsidR="00674711" w:rsidRPr="007F2106">
        <w:t>interest</w:t>
      </w:r>
      <w:r w:rsidR="00FD6E4F" w:rsidRPr="007F2106">
        <w:t xml:space="preserve"> </w:t>
      </w:r>
      <w:r w:rsidR="000F3B7F" w:rsidRPr="007F2106">
        <w:t xml:space="preserve">rates </w:t>
      </w:r>
      <w:r w:rsidR="00674711" w:rsidRPr="007F2106">
        <w:t>as well as diversification needs</w:t>
      </w:r>
      <w:r w:rsidR="00FD6E4F" w:rsidRPr="007F2106">
        <w:t xml:space="preserve"> </w:t>
      </w:r>
      <w:r w:rsidR="00674711" w:rsidRPr="007F2106">
        <w:t xml:space="preserve">have pushed </w:t>
      </w:r>
      <w:r w:rsidR="000F3B7F" w:rsidRPr="007F2106">
        <w:t xml:space="preserve">many investors to </w:t>
      </w:r>
      <w:r w:rsidR="00674711" w:rsidRPr="007F2106">
        <w:t>look into this sub-set of assets</w:t>
      </w:r>
      <w:r w:rsidR="000F3B7F" w:rsidRPr="007F2106">
        <w:t>.</w:t>
      </w:r>
      <w:r w:rsidR="006D63FC" w:rsidRPr="007F2106">
        <w:rPr>
          <w:rStyle w:val="acopre"/>
          <w:sz w:val="22"/>
          <w:vertAlign w:val="superscript"/>
        </w:rPr>
        <w:t>2</w:t>
      </w:r>
      <w:r w:rsidR="000F3B7F" w:rsidRPr="005A742E">
        <w:br/>
      </w:r>
      <w:r w:rsidR="00674711" w:rsidRPr="005A742E">
        <w:t>COVID</w:t>
      </w:r>
      <w:r w:rsidR="000F3B7F" w:rsidRPr="005A742E">
        <w:t>-19 an</w:t>
      </w:r>
      <w:r w:rsidR="00A06FA8" w:rsidRPr="005A742E">
        <w:t xml:space="preserve">d market </w:t>
      </w:r>
      <w:r w:rsidR="00674711" w:rsidRPr="005A742E">
        <w:t>plunge of</w:t>
      </w:r>
      <w:r w:rsidR="00A06FA8" w:rsidRPr="005A742E">
        <w:t xml:space="preserve"> March</w:t>
      </w:r>
      <w:r w:rsidR="00674711" w:rsidRPr="005A742E">
        <w:t xml:space="preserve"> 2020 has </w:t>
      </w:r>
      <w:r w:rsidR="000F3B7F" w:rsidRPr="005A742E">
        <w:t>accelerate</w:t>
      </w:r>
      <w:r w:rsidR="00A710C3" w:rsidRPr="005A742E">
        <w:t>d</w:t>
      </w:r>
      <w:r w:rsidR="000F3B7F" w:rsidRPr="005A742E">
        <w:t xml:space="preserve"> this trend; most of </w:t>
      </w:r>
      <w:r w:rsidR="00A06FA8" w:rsidRPr="005A742E">
        <w:t xml:space="preserve">allocators impacted by </w:t>
      </w:r>
      <w:r w:rsidR="00674711" w:rsidRPr="005A742E">
        <w:t>COVID</w:t>
      </w:r>
      <w:r w:rsidR="00A06FA8" w:rsidRPr="005A742E">
        <w:t>-19 crisis</w:t>
      </w:r>
      <w:r w:rsidR="00A710C3" w:rsidRPr="005A742E">
        <w:t xml:space="preserve">, particularly large institutional ones, </w:t>
      </w:r>
      <w:r w:rsidR="00674711" w:rsidRPr="005A742E">
        <w:t>are</w:t>
      </w:r>
      <w:r w:rsidR="00A06FA8" w:rsidRPr="005A742E">
        <w:t xml:space="preserve"> more willing to</w:t>
      </w:r>
      <w:r w:rsidR="00E04B5C" w:rsidRPr="005A742E">
        <w:t xml:space="preserve"> shift from </w:t>
      </w:r>
      <w:r w:rsidR="00A710C3" w:rsidRPr="005A742E">
        <w:t xml:space="preserve">a classical </w:t>
      </w:r>
      <w:r w:rsidR="00E04B5C" w:rsidRPr="005A742E">
        <w:t xml:space="preserve">60/40 </w:t>
      </w:r>
      <w:r w:rsidR="00A710C3" w:rsidRPr="005A742E">
        <w:t>split</w:t>
      </w:r>
      <w:r w:rsidR="00E04B5C" w:rsidRPr="005A742E">
        <w:t xml:space="preserve"> to a more </w:t>
      </w:r>
      <w:r w:rsidR="00A06FA8" w:rsidRPr="005A742E">
        <w:t xml:space="preserve">sophisticated and </w:t>
      </w:r>
      <w:r w:rsidR="00E04B5C" w:rsidRPr="005A742E">
        <w:t>diversified pie</w:t>
      </w:r>
      <w:r w:rsidR="00FD3E71" w:rsidRPr="005A742E">
        <w:t>.</w:t>
      </w:r>
      <w:r w:rsidR="00E04B5C" w:rsidRPr="005A742E">
        <w:br/>
      </w:r>
      <w:r w:rsidR="00E04B5C" w:rsidRPr="005A742E">
        <w:rPr>
          <w:sz w:val="28"/>
        </w:rPr>
        <w:br/>
      </w:r>
      <w:r w:rsidR="00E04B5C" w:rsidRPr="005A742E">
        <w:rPr>
          <w:noProof/>
          <w:sz w:val="28"/>
        </w:rPr>
        <w:drawing>
          <wp:inline distT="0" distB="0" distL="0" distR="0" wp14:anchorId="06FD04E2" wp14:editId="33B0F758">
            <wp:extent cx="5731510" cy="23329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742E">
        <w:rPr>
          <w:sz w:val="28"/>
        </w:rPr>
        <w:br/>
      </w:r>
      <w:r w:rsidR="004B48FB" w:rsidRPr="005A742E">
        <w:rPr>
          <w:sz w:val="28"/>
        </w:rPr>
        <w:br/>
      </w:r>
      <w:r w:rsidR="00C305AA" w:rsidRPr="005A742E">
        <w:rPr>
          <w:sz w:val="28"/>
        </w:rPr>
        <w:br/>
      </w:r>
      <w:r w:rsidR="00A710C3" w:rsidRPr="007F2106">
        <w:t xml:space="preserve">They now tend to </w:t>
      </w:r>
      <w:r w:rsidR="00C305AA" w:rsidRPr="007F2106">
        <w:t>allocate an average</w:t>
      </w:r>
      <w:r w:rsidR="00A710C3" w:rsidRPr="007F2106">
        <w:t xml:space="preserve"> of</w:t>
      </w:r>
      <w:r w:rsidR="00C305AA" w:rsidRPr="007F2106">
        <w:t xml:space="preserve"> 26</w:t>
      </w:r>
      <w:r w:rsidR="00A933D6" w:rsidRPr="007F2106">
        <w:t>%</w:t>
      </w:r>
      <w:r w:rsidR="00C305AA" w:rsidRPr="007F2106">
        <w:t xml:space="preserve"> of their assets to </w:t>
      </w:r>
      <w:r w:rsidR="00A710C3" w:rsidRPr="007F2106">
        <w:t>the alternatives</w:t>
      </w:r>
      <w:r w:rsidR="00C305AA" w:rsidRPr="007F2106">
        <w:t xml:space="preserve">, </w:t>
      </w:r>
      <w:r w:rsidR="00A710C3" w:rsidRPr="007F2106">
        <w:t>which represents YOY increase of 2%</w:t>
      </w:r>
      <w:r w:rsidR="00C305AA" w:rsidRPr="007F2106">
        <w:t xml:space="preserve"> </w:t>
      </w:r>
      <w:r w:rsidR="00A710C3" w:rsidRPr="007F2106">
        <w:t>according to</w:t>
      </w:r>
      <w:r w:rsidR="00C305AA" w:rsidRPr="007F2106">
        <w:t xml:space="preserve"> CoreData</w:t>
      </w:r>
      <w:r w:rsidR="00982E87" w:rsidRPr="007F2106">
        <w:t xml:space="preserve"> Research</w:t>
      </w:r>
      <w:r w:rsidR="00A710C3" w:rsidRPr="007F2106">
        <w:t>.</w:t>
      </w:r>
      <w:r w:rsidR="002E7750" w:rsidRPr="007F2106">
        <w:br/>
      </w:r>
      <w:r w:rsidR="009B000E" w:rsidRPr="007F2106">
        <w:t>Abou</w:t>
      </w:r>
      <w:r w:rsidR="00A933D6" w:rsidRPr="007F2106">
        <w:t xml:space="preserve">t 40% </w:t>
      </w:r>
      <w:r w:rsidR="009B000E" w:rsidRPr="007F2106">
        <w:t xml:space="preserve">of </w:t>
      </w:r>
      <w:r w:rsidR="00A710C3" w:rsidRPr="007F2106">
        <w:t>those polled</w:t>
      </w:r>
      <w:r w:rsidR="009B000E" w:rsidRPr="007F2106">
        <w:t xml:space="preserve"> by CoreData Research in June and July planned larger allocations to alternative strategies over the ne</w:t>
      </w:r>
      <w:r w:rsidR="00A933D6" w:rsidRPr="007F2106">
        <w:t>xt three to five years, with 90%</w:t>
      </w:r>
      <w:r w:rsidR="009B000E" w:rsidRPr="007F2106">
        <w:t xml:space="preserve"> citing diversification as their main reason, a</w:t>
      </w:r>
      <w:r w:rsidR="00B40384" w:rsidRPr="007F2106">
        <w:t>ccording to the Cerulli report.</w:t>
      </w:r>
      <w:r w:rsidR="006D63FC" w:rsidRPr="007F2106">
        <w:rPr>
          <w:rStyle w:val="acopre"/>
          <w:sz w:val="22"/>
          <w:vertAlign w:val="superscript"/>
        </w:rPr>
        <w:t>3</w:t>
      </w:r>
    </w:p>
    <w:p w14:paraId="706E2B5A" w14:textId="77777777" w:rsidR="00996CDD" w:rsidRPr="005A742E" w:rsidRDefault="00996CDD" w:rsidP="00996CDD">
      <w:pPr>
        <w:pStyle w:val="NormalWeb"/>
        <w:spacing w:before="0" w:beforeAutospacing="0" w:after="0" w:afterAutospacing="0"/>
      </w:pPr>
    </w:p>
    <w:p w14:paraId="100F8C68" w14:textId="4BC94EE6" w:rsidR="008C1D4F" w:rsidRPr="005A742E" w:rsidRDefault="00982E87" w:rsidP="00996CDD">
      <w:pPr>
        <w:pStyle w:val="NormalWeb"/>
        <w:spacing w:before="0" w:beforeAutospacing="0" w:after="0" w:afterAutospacing="0"/>
      </w:pPr>
      <w:r w:rsidRPr="005A742E">
        <w:t>The r</w:t>
      </w:r>
      <w:r w:rsidR="00B374F4" w:rsidRPr="005A742E">
        <w:t>eal question</w:t>
      </w:r>
      <w:r w:rsidRPr="005A742E">
        <w:t xml:space="preserve"> therefore</w:t>
      </w:r>
      <w:r w:rsidR="00B374F4" w:rsidRPr="005A742E">
        <w:t xml:space="preserve"> is: which of the alternatives can provide</w:t>
      </w:r>
      <w:r w:rsidRPr="005A742E">
        <w:t xml:space="preserve"> truly de-correlated returns</w:t>
      </w:r>
      <w:r w:rsidR="00B374F4" w:rsidRPr="005A742E">
        <w:t xml:space="preserve"> </w:t>
      </w:r>
      <w:r w:rsidR="00D37648" w:rsidRPr="005A742E">
        <w:t xml:space="preserve">during </w:t>
      </w:r>
      <w:r w:rsidRPr="005A742E">
        <w:t xml:space="preserve">the times of </w:t>
      </w:r>
      <w:r w:rsidR="00B374F4" w:rsidRPr="005A742E">
        <w:t xml:space="preserve">market </w:t>
      </w:r>
      <w:r w:rsidRPr="005A742E">
        <w:t>di</w:t>
      </w:r>
      <w:r w:rsidR="00B374F4" w:rsidRPr="005A742E">
        <w:t>stress</w:t>
      </w:r>
      <w:r w:rsidRPr="005A742E">
        <w:t>?</w:t>
      </w:r>
    </w:p>
    <w:p w14:paraId="6BBB333D" w14:textId="77777777" w:rsidR="00B041D2" w:rsidRPr="007F2106" w:rsidRDefault="00287607" w:rsidP="00B041D2">
      <w:pPr>
        <w:pStyle w:val="NormalWeb"/>
        <w:spacing w:before="0" w:beforeAutospacing="0" w:after="0" w:afterAutospacing="0"/>
      </w:pPr>
      <w:r w:rsidRPr="005A742E">
        <w:rPr>
          <w:b/>
          <w:u w:val="single"/>
        </w:rPr>
        <w:lastRenderedPageBreak/>
        <w:br/>
      </w:r>
      <w:bookmarkStart w:id="6" w:name="_Toc54885938"/>
      <w:bookmarkStart w:id="7" w:name="_Toc54886032"/>
      <w:r w:rsidRPr="00A423BA">
        <w:rPr>
          <w:rStyle w:val="Heading3Char"/>
          <w:i/>
          <w:color w:val="auto"/>
          <w:sz w:val="28"/>
          <w:u w:val="single"/>
        </w:rPr>
        <w:t xml:space="preserve">I) </w:t>
      </w:r>
      <w:r w:rsidR="00EC620E" w:rsidRPr="00A423BA">
        <w:rPr>
          <w:rStyle w:val="Heading3Char"/>
          <w:i/>
          <w:color w:val="auto"/>
          <w:sz w:val="28"/>
          <w:u w:val="single"/>
        </w:rPr>
        <w:t xml:space="preserve">Real Estate, Private Equity and Hedge </w:t>
      </w:r>
      <w:r w:rsidR="00C305AA" w:rsidRPr="00A423BA">
        <w:rPr>
          <w:rStyle w:val="Heading3Char"/>
          <w:i/>
          <w:color w:val="auto"/>
          <w:sz w:val="28"/>
          <w:u w:val="single"/>
        </w:rPr>
        <w:t>Funds:</w:t>
      </w:r>
      <w:r w:rsidR="00EC620E" w:rsidRPr="00A423BA">
        <w:rPr>
          <w:rStyle w:val="Heading3Char"/>
          <w:i/>
          <w:color w:val="auto"/>
          <w:sz w:val="28"/>
          <w:u w:val="single"/>
        </w:rPr>
        <w:t xml:space="preserve"> </w:t>
      </w:r>
      <w:r w:rsidRPr="00A423BA">
        <w:rPr>
          <w:rStyle w:val="Heading3Char"/>
          <w:i/>
          <w:color w:val="auto"/>
          <w:sz w:val="28"/>
          <w:u w:val="single"/>
        </w:rPr>
        <w:t>still good for diversification?</w:t>
      </w:r>
      <w:bookmarkEnd w:id="6"/>
      <w:bookmarkEnd w:id="7"/>
      <w:r w:rsidR="00B374F4" w:rsidRPr="007235DB">
        <w:rPr>
          <w:rStyle w:val="Heading3Char"/>
        </w:rPr>
        <w:br/>
      </w:r>
      <w:r w:rsidR="00B374F4" w:rsidRPr="005A742E">
        <w:rPr>
          <w:b/>
          <w:u w:val="single"/>
        </w:rPr>
        <w:br/>
      </w:r>
      <w:r w:rsidR="00982E87" w:rsidRPr="005A742E">
        <w:t>R</w:t>
      </w:r>
      <w:r w:rsidR="005606A7" w:rsidRPr="005A742E">
        <w:t>eal estate, private equity and hedge funds</w:t>
      </w:r>
      <w:r w:rsidR="00982E87" w:rsidRPr="005A742E">
        <w:t xml:space="preserve"> have traditionally been the 3 most established and commonly referred to </w:t>
      </w:r>
      <w:r w:rsidR="008C1D4F" w:rsidRPr="005A742E">
        <w:t xml:space="preserve">types of alternatives. </w:t>
      </w:r>
      <w:r w:rsidR="00982E87" w:rsidRPr="005A742E">
        <w:t xml:space="preserve">However their added value as portfolio diversifier has been somewhat </w:t>
      </w:r>
      <w:r w:rsidR="00982E87" w:rsidRPr="007F2106">
        <w:t xml:space="preserve">diminished in scope of the recent COVID-19 </w:t>
      </w:r>
      <w:r w:rsidR="00386037" w:rsidRPr="007F2106">
        <w:t>crisis</w:t>
      </w:r>
      <w:r w:rsidR="00982E87" w:rsidRPr="007F2106">
        <w:t>.</w:t>
      </w:r>
    </w:p>
    <w:p w14:paraId="3F664AEB" w14:textId="4905B323" w:rsidR="00B85C54" w:rsidRPr="0088728C" w:rsidRDefault="00D04427" w:rsidP="00B041D2">
      <w:pPr>
        <w:pStyle w:val="NormalWeb"/>
        <w:spacing w:before="0" w:beforeAutospacing="0" w:after="0" w:afterAutospacing="0"/>
        <w:rPr>
          <w:color w:val="FF0000"/>
        </w:rPr>
      </w:pPr>
      <w:r w:rsidRPr="007F2106">
        <w:t>Recent data shows that HFRI Fund Weighted Composite Index already dumped by 1.2% in September, ending the 5 positive months performance since March, with fundamental equity, multi-strategy, quantitative and energy/materials strategies all registering losses</w:t>
      </w:r>
      <w:r w:rsidR="00F80111" w:rsidRPr="007F2106">
        <w:t>.</w:t>
      </w:r>
      <w:r w:rsidR="006D63FC" w:rsidRPr="007F2106">
        <w:rPr>
          <w:rStyle w:val="acopre"/>
          <w:sz w:val="22"/>
          <w:vertAlign w:val="superscript"/>
        </w:rPr>
        <w:t>4</w:t>
      </w:r>
      <w:r w:rsidR="00E53555" w:rsidRPr="005A742E">
        <w:rPr>
          <w:sz w:val="28"/>
        </w:rPr>
        <w:br/>
      </w:r>
      <w:r w:rsidR="00E53555" w:rsidRPr="005A742E">
        <w:rPr>
          <w:sz w:val="28"/>
        </w:rPr>
        <w:br/>
      </w:r>
      <w:r w:rsidR="00E53555" w:rsidRPr="005A742E">
        <w:rPr>
          <w:noProof/>
          <w:sz w:val="28"/>
        </w:rPr>
        <w:drawing>
          <wp:inline distT="0" distB="0" distL="0" distR="0" wp14:anchorId="270DA903" wp14:editId="5F7C3FB8">
            <wp:extent cx="2236163" cy="2184137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56692" cy="2204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212F" w:rsidRPr="005A742E">
        <w:rPr>
          <w:noProof/>
          <w:sz w:val="28"/>
        </w:rPr>
        <w:drawing>
          <wp:inline distT="0" distB="0" distL="0" distR="0" wp14:anchorId="3B5670F7" wp14:editId="376E7100">
            <wp:extent cx="2337634" cy="2223162"/>
            <wp:effectExtent l="0" t="0" r="571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2446" cy="225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742E">
        <w:rPr>
          <w:sz w:val="28"/>
        </w:rPr>
        <w:br/>
      </w:r>
      <w:r w:rsidR="00D2212F" w:rsidRPr="005A742E">
        <w:rPr>
          <w:sz w:val="28"/>
        </w:rPr>
        <w:br/>
      </w:r>
      <w:r w:rsidR="008320E2" w:rsidRPr="00163049">
        <w:t>R</w:t>
      </w:r>
      <w:r w:rsidR="00D2212F" w:rsidRPr="00163049">
        <w:t>eal estate sector</w:t>
      </w:r>
      <w:r w:rsidR="00592BB2" w:rsidRPr="00163049">
        <w:t>,</w:t>
      </w:r>
      <w:r w:rsidR="00AA555C" w:rsidRPr="00163049">
        <w:t xml:space="preserve"> </w:t>
      </w:r>
      <w:r w:rsidR="00592BB2" w:rsidRPr="00163049">
        <w:t xml:space="preserve">one of the most financially vulnerable sectors, have been heavily impacted by COVID-19. Disruption in manufacturing and transport </w:t>
      </w:r>
      <w:r w:rsidR="00AA555C" w:rsidRPr="00163049">
        <w:t xml:space="preserve">which </w:t>
      </w:r>
      <w:r w:rsidR="00386037" w:rsidRPr="00163049">
        <w:t>has</w:t>
      </w:r>
      <w:r w:rsidR="00592BB2" w:rsidRPr="00163049">
        <w:t xml:space="preserve"> limited construction and renovations pipeline</w:t>
      </w:r>
      <w:r w:rsidR="00AA555C" w:rsidRPr="00163049">
        <w:t xml:space="preserve">, </w:t>
      </w:r>
      <w:r w:rsidR="00592BB2" w:rsidRPr="00163049">
        <w:t>hampered expansion plans, reduced office-space demand due to increase in tele-working as well a</w:t>
      </w:r>
      <w:r w:rsidR="00386037" w:rsidRPr="00163049">
        <w:t>s</w:t>
      </w:r>
      <w:r w:rsidR="00AA555C" w:rsidRPr="00163049">
        <w:t xml:space="preserve"> high street retail footfall due to collapse in travel have al</w:t>
      </w:r>
      <w:r w:rsidR="006562DC" w:rsidRPr="00163049">
        <w:t>l contributed to real estate volatility.</w:t>
      </w:r>
    </w:p>
    <w:p w14:paraId="3BB9EA81" w14:textId="63B9C6FD" w:rsidR="007235DB" w:rsidRDefault="00005B3E" w:rsidP="002553D2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  <w:r w:rsidRPr="007F2106">
        <w:rPr>
          <w:rFonts w:ascii="Times New Roman" w:hAnsi="Times New Roman" w:cs="Times New Roman"/>
          <w:sz w:val="24"/>
        </w:rPr>
        <w:t>Private Equity</w:t>
      </w:r>
      <w:r w:rsidR="00EE1EDD" w:rsidRPr="007F2106">
        <w:rPr>
          <w:rFonts w:ascii="Times New Roman" w:hAnsi="Times New Roman" w:cs="Times New Roman"/>
          <w:sz w:val="24"/>
        </w:rPr>
        <w:t xml:space="preserve"> as well</w:t>
      </w:r>
      <w:r w:rsidRPr="007F2106">
        <w:rPr>
          <w:rFonts w:ascii="Times New Roman" w:hAnsi="Times New Roman" w:cs="Times New Roman"/>
          <w:sz w:val="24"/>
        </w:rPr>
        <w:t xml:space="preserve"> had </w:t>
      </w:r>
      <w:r w:rsidR="00386037" w:rsidRPr="007F2106">
        <w:rPr>
          <w:rFonts w:ascii="Times New Roman" w:hAnsi="Times New Roman" w:cs="Times New Roman"/>
          <w:sz w:val="24"/>
        </w:rPr>
        <w:t>been largely impacted</w:t>
      </w:r>
      <w:r w:rsidRPr="007F2106">
        <w:rPr>
          <w:rFonts w:ascii="Times New Roman" w:hAnsi="Times New Roman" w:cs="Times New Roman"/>
          <w:sz w:val="24"/>
        </w:rPr>
        <w:t xml:space="preserve"> </w:t>
      </w:r>
      <w:r w:rsidR="00386037" w:rsidRPr="007F2106">
        <w:rPr>
          <w:rFonts w:ascii="Times New Roman" w:hAnsi="Times New Roman" w:cs="Times New Roman"/>
          <w:sz w:val="24"/>
        </w:rPr>
        <w:t>in March 2020</w:t>
      </w:r>
      <w:r w:rsidRPr="007F2106">
        <w:rPr>
          <w:rFonts w:ascii="Times New Roman" w:hAnsi="Times New Roman" w:cs="Times New Roman"/>
          <w:sz w:val="24"/>
        </w:rPr>
        <w:t>, p</w:t>
      </w:r>
      <w:r w:rsidR="005B7557" w:rsidRPr="007F2106">
        <w:rPr>
          <w:rFonts w:ascii="Times New Roman" w:hAnsi="Times New Roman" w:cs="Times New Roman"/>
          <w:sz w:val="24"/>
        </w:rPr>
        <w:t xml:space="preserve">articularly in terms of volumes, </w:t>
      </w:r>
      <w:r w:rsidR="006562DC" w:rsidRPr="007F2106">
        <w:rPr>
          <w:rFonts w:ascii="Times New Roman" w:hAnsi="Times New Roman" w:cs="Times New Roman"/>
          <w:sz w:val="24"/>
        </w:rPr>
        <w:t>while</w:t>
      </w:r>
      <w:r w:rsidR="005B7557" w:rsidRPr="007F2106">
        <w:rPr>
          <w:rFonts w:ascii="Times New Roman" w:hAnsi="Times New Roman" w:cs="Times New Roman"/>
          <w:sz w:val="24"/>
        </w:rPr>
        <w:t xml:space="preserve"> almost 50% of many companies </w:t>
      </w:r>
      <w:r w:rsidR="00386037" w:rsidRPr="007F2106">
        <w:rPr>
          <w:rFonts w:ascii="Times New Roman" w:hAnsi="Times New Roman" w:cs="Times New Roman"/>
          <w:sz w:val="24"/>
        </w:rPr>
        <w:t>within</w:t>
      </w:r>
      <w:r w:rsidR="005B7557" w:rsidRPr="007F2106">
        <w:rPr>
          <w:rFonts w:ascii="Times New Roman" w:hAnsi="Times New Roman" w:cs="Times New Roman"/>
          <w:sz w:val="24"/>
        </w:rPr>
        <w:t xml:space="preserve"> portfolio</w:t>
      </w:r>
      <w:r w:rsidR="00386037" w:rsidRPr="007F2106">
        <w:rPr>
          <w:rFonts w:ascii="Times New Roman" w:hAnsi="Times New Roman" w:cs="Times New Roman"/>
          <w:sz w:val="24"/>
        </w:rPr>
        <w:t>s</w:t>
      </w:r>
      <w:r w:rsidR="005B7557" w:rsidRPr="007F2106">
        <w:rPr>
          <w:rFonts w:ascii="Times New Roman" w:hAnsi="Times New Roman" w:cs="Times New Roman"/>
          <w:sz w:val="24"/>
        </w:rPr>
        <w:t xml:space="preserve"> </w:t>
      </w:r>
      <w:r w:rsidR="006562DC" w:rsidRPr="007F2106">
        <w:rPr>
          <w:rFonts w:ascii="Times New Roman" w:hAnsi="Times New Roman" w:cs="Times New Roman"/>
          <w:sz w:val="24"/>
        </w:rPr>
        <w:t xml:space="preserve">had no </w:t>
      </w:r>
      <w:r w:rsidR="00EE1EDD" w:rsidRPr="007F2106">
        <w:rPr>
          <w:rFonts w:ascii="Times New Roman" w:hAnsi="Times New Roman" w:cs="Times New Roman"/>
          <w:sz w:val="24"/>
        </w:rPr>
        <w:t>real</w:t>
      </w:r>
      <w:r w:rsidR="005B7557" w:rsidRPr="007F2106">
        <w:rPr>
          <w:rFonts w:ascii="Times New Roman" w:hAnsi="Times New Roman" w:cs="Times New Roman"/>
          <w:sz w:val="24"/>
        </w:rPr>
        <w:t xml:space="preserve"> business </w:t>
      </w:r>
      <w:r w:rsidR="00386037" w:rsidRPr="007F2106">
        <w:rPr>
          <w:rFonts w:ascii="Times New Roman" w:hAnsi="Times New Roman" w:cs="Times New Roman"/>
          <w:sz w:val="24"/>
        </w:rPr>
        <w:t xml:space="preserve">continuity </w:t>
      </w:r>
      <w:r w:rsidR="005B7557" w:rsidRPr="007F2106">
        <w:rPr>
          <w:rFonts w:ascii="Times New Roman" w:hAnsi="Times New Roman" w:cs="Times New Roman"/>
          <w:sz w:val="24"/>
        </w:rPr>
        <w:t>plan</w:t>
      </w:r>
      <w:r w:rsidR="00386037" w:rsidRPr="007F2106">
        <w:rPr>
          <w:rFonts w:ascii="Times New Roman" w:hAnsi="Times New Roman" w:cs="Times New Roman"/>
          <w:sz w:val="24"/>
        </w:rPr>
        <w:t>s</w:t>
      </w:r>
      <w:r w:rsidR="005B7557" w:rsidRPr="007F2106">
        <w:rPr>
          <w:rFonts w:ascii="Times New Roman" w:hAnsi="Times New Roman" w:cs="Times New Roman"/>
          <w:sz w:val="24"/>
        </w:rPr>
        <w:t xml:space="preserve"> in place before lockdown.</w:t>
      </w:r>
      <w:r w:rsidR="00FD06BF" w:rsidRPr="007F2106">
        <w:rPr>
          <w:rStyle w:val="acopre"/>
          <w:sz w:val="20"/>
          <w:vertAlign w:val="superscript"/>
        </w:rPr>
        <w:t>5</w:t>
      </w:r>
      <w:r w:rsidR="00C1421F" w:rsidRPr="005A742E">
        <w:rPr>
          <w:rFonts w:ascii="Times New Roman" w:hAnsi="Times New Roman" w:cs="Times New Roman"/>
          <w:sz w:val="24"/>
        </w:rPr>
        <w:br/>
      </w:r>
      <w:r w:rsidR="00C1421F" w:rsidRPr="005A742E">
        <w:rPr>
          <w:rFonts w:ascii="Times New Roman" w:hAnsi="Times New Roman" w:cs="Times New Roman"/>
          <w:sz w:val="24"/>
        </w:rPr>
        <w:br/>
      </w:r>
      <w:r w:rsidR="00C1421F" w:rsidRPr="005A742E">
        <w:rPr>
          <w:rFonts w:ascii="Times New Roman" w:eastAsia="Times New Roman" w:hAnsi="Times New Roman" w:cs="Times New Roman"/>
          <w:noProof/>
          <w:sz w:val="28"/>
          <w:szCs w:val="24"/>
          <w:lang w:eastAsia="en-GB"/>
        </w:rPr>
        <w:lastRenderedPageBreak/>
        <w:drawing>
          <wp:inline distT="0" distB="0" distL="0" distR="0" wp14:anchorId="5B0926CC" wp14:editId="359A054B">
            <wp:extent cx="2673341" cy="198945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3656" cy="204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742E">
        <w:rPr>
          <w:rFonts w:ascii="Times New Roman" w:hAnsi="Times New Roman" w:cs="Times New Roman"/>
          <w:sz w:val="24"/>
        </w:rPr>
        <w:t xml:space="preserve"> </w:t>
      </w:r>
      <w:r w:rsidR="005B7557" w:rsidRPr="005A742E">
        <w:rPr>
          <w:rFonts w:ascii="Times New Roman" w:eastAsia="Times New Roman" w:hAnsi="Times New Roman" w:cs="Times New Roman"/>
          <w:noProof/>
          <w:sz w:val="28"/>
          <w:szCs w:val="24"/>
          <w:lang w:eastAsia="en-GB"/>
        </w:rPr>
        <w:drawing>
          <wp:inline distT="0" distB="0" distL="0" distR="0" wp14:anchorId="008BF729" wp14:editId="2B9ABD40">
            <wp:extent cx="2952507" cy="2018603"/>
            <wp:effectExtent l="0" t="0" r="635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79771" cy="2037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421F" w:rsidRPr="005A742E">
        <w:rPr>
          <w:rFonts w:ascii="Times New Roman" w:hAnsi="Times New Roman" w:cs="Times New Roman"/>
          <w:sz w:val="24"/>
        </w:rPr>
        <w:br/>
      </w:r>
      <w:r w:rsidR="00C1421F" w:rsidRPr="005A742E">
        <w:rPr>
          <w:rFonts w:ascii="Times New Roman" w:hAnsi="Times New Roman" w:cs="Times New Roman"/>
          <w:sz w:val="24"/>
        </w:rPr>
        <w:br/>
      </w:r>
      <w:r w:rsidRPr="007F2106">
        <w:rPr>
          <w:rFonts w:ascii="Times New Roman" w:hAnsi="Times New Roman" w:cs="Times New Roman"/>
          <w:sz w:val="24"/>
        </w:rPr>
        <w:t xml:space="preserve">European PE deal-making dropped to a five-year low in the first half of 2020, a 13% drop </w:t>
      </w:r>
      <w:r w:rsidR="00775EF1" w:rsidRPr="007F2106">
        <w:rPr>
          <w:rFonts w:ascii="Times New Roman" w:hAnsi="Times New Roman" w:cs="Times New Roman"/>
          <w:sz w:val="24"/>
        </w:rPr>
        <w:t xml:space="preserve">versus </w:t>
      </w:r>
      <w:r w:rsidRPr="007F2106">
        <w:rPr>
          <w:rFonts w:ascii="Times New Roman" w:hAnsi="Times New Roman" w:cs="Times New Roman"/>
          <w:sz w:val="24"/>
        </w:rPr>
        <w:t xml:space="preserve">the same period </w:t>
      </w:r>
      <w:r w:rsidR="00775EF1" w:rsidRPr="007F2106">
        <w:rPr>
          <w:rFonts w:ascii="Times New Roman" w:hAnsi="Times New Roman" w:cs="Times New Roman"/>
          <w:sz w:val="24"/>
        </w:rPr>
        <w:t>of the previous year</w:t>
      </w:r>
      <w:r w:rsidRPr="007F2106">
        <w:rPr>
          <w:rFonts w:ascii="Times New Roman" w:hAnsi="Times New Roman" w:cs="Times New Roman"/>
          <w:sz w:val="24"/>
        </w:rPr>
        <w:t>. The fall for US entries was even steeper, with a 26% year-over-year drop in deals announced</w:t>
      </w:r>
      <w:r w:rsidR="00775EF1" w:rsidRPr="007F2106">
        <w:rPr>
          <w:rFonts w:ascii="Times New Roman" w:hAnsi="Times New Roman" w:cs="Times New Roman"/>
          <w:sz w:val="24"/>
        </w:rPr>
        <w:t>.</w:t>
      </w:r>
      <w:r w:rsidR="00FD06BF" w:rsidRPr="007F2106">
        <w:rPr>
          <w:rStyle w:val="acopre"/>
          <w:sz w:val="20"/>
          <w:vertAlign w:val="superscript"/>
        </w:rPr>
        <w:t>6</w:t>
      </w:r>
      <w:r w:rsidRPr="005A742E">
        <w:rPr>
          <w:rFonts w:ascii="Times New Roman" w:hAnsi="Times New Roman" w:cs="Times New Roman"/>
          <w:sz w:val="24"/>
        </w:rPr>
        <w:br/>
      </w:r>
    </w:p>
    <w:p w14:paraId="5254F010" w14:textId="237CF99B" w:rsidR="003F0070" w:rsidRDefault="007235DB" w:rsidP="002553D2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  <w:bookmarkStart w:id="8" w:name="_Toc54885939"/>
      <w:bookmarkStart w:id="9" w:name="_Toc54886033"/>
      <w:r w:rsidRPr="00A423BA">
        <w:rPr>
          <w:rStyle w:val="Heading3Char"/>
          <w:i/>
          <w:color w:val="auto"/>
          <w:u w:val="single"/>
        </w:rPr>
        <w:t>II) Rise of new asset classes</w:t>
      </w:r>
      <w:bookmarkEnd w:id="8"/>
      <w:bookmarkEnd w:id="9"/>
      <w:r w:rsidR="00287607" w:rsidRPr="005A742E">
        <w:rPr>
          <w:rFonts w:ascii="Times New Roman" w:hAnsi="Times New Roman" w:cs="Times New Roman"/>
          <w:b/>
          <w:sz w:val="24"/>
          <w:u w:val="single"/>
        </w:rPr>
        <w:br/>
      </w:r>
      <w:r w:rsidR="00287607" w:rsidRPr="005A742E">
        <w:rPr>
          <w:rFonts w:ascii="Times New Roman" w:hAnsi="Times New Roman" w:cs="Times New Roman"/>
          <w:sz w:val="24"/>
        </w:rPr>
        <w:br/>
      </w:r>
      <w:r w:rsidR="00327421" w:rsidRPr="005A742E">
        <w:rPr>
          <w:rFonts w:ascii="Times New Roman" w:hAnsi="Times New Roman" w:cs="Times New Roman"/>
          <w:sz w:val="24"/>
        </w:rPr>
        <w:t>R</w:t>
      </w:r>
      <w:r w:rsidR="00AE3BCC" w:rsidRPr="005A742E">
        <w:rPr>
          <w:rFonts w:ascii="Times New Roman" w:hAnsi="Times New Roman" w:cs="Times New Roman"/>
          <w:sz w:val="24"/>
        </w:rPr>
        <w:t>e</w:t>
      </w:r>
      <w:r w:rsidR="006562DC" w:rsidRPr="005A742E">
        <w:rPr>
          <w:rFonts w:ascii="Times New Roman" w:hAnsi="Times New Roman" w:cs="Times New Roman"/>
          <w:sz w:val="24"/>
        </w:rPr>
        <w:t>turns</w:t>
      </w:r>
      <w:r w:rsidR="00AE3BCC" w:rsidRPr="005A742E">
        <w:rPr>
          <w:rFonts w:ascii="Times New Roman" w:hAnsi="Times New Roman" w:cs="Times New Roman"/>
          <w:sz w:val="24"/>
        </w:rPr>
        <w:t xml:space="preserve"> shown by major </w:t>
      </w:r>
      <w:r w:rsidR="00327421" w:rsidRPr="005A742E">
        <w:rPr>
          <w:rFonts w:ascii="Times New Roman" w:hAnsi="Times New Roman" w:cs="Times New Roman"/>
          <w:sz w:val="24"/>
        </w:rPr>
        <w:t xml:space="preserve">alternative </w:t>
      </w:r>
      <w:r w:rsidR="00AE3BCC" w:rsidRPr="005A742E">
        <w:rPr>
          <w:rFonts w:ascii="Times New Roman" w:hAnsi="Times New Roman" w:cs="Times New Roman"/>
          <w:sz w:val="24"/>
        </w:rPr>
        <w:t xml:space="preserve">asset classes during </w:t>
      </w:r>
      <w:r w:rsidR="006562DC" w:rsidRPr="005A742E">
        <w:rPr>
          <w:rFonts w:ascii="Times New Roman" w:hAnsi="Times New Roman" w:cs="Times New Roman"/>
          <w:sz w:val="24"/>
        </w:rPr>
        <w:t>COVID</w:t>
      </w:r>
      <w:r w:rsidR="00327421" w:rsidRPr="005A742E">
        <w:rPr>
          <w:rFonts w:ascii="Times New Roman" w:hAnsi="Times New Roman" w:cs="Times New Roman"/>
          <w:sz w:val="24"/>
        </w:rPr>
        <w:t>-19</w:t>
      </w:r>
      <w:r w:rsidR="00AE3BCC" w:rsidRPr="005A742E">
        <w:rPr>
          <w:rFonts w:ascii="Times New Roman" w:hAnsi="Times New Roman" w:cs="Times New Roman"/>
          <w:sz w:val="24"/>
        </w:rPr>
        <w:t xml:space="preserve"> </w:t>
      </w:r>
      <w:r w:rsidR="006562DC" w:rsidRPr="005A742E">
        <w:rPr>
          <w:rFonts w:ascii="Times New Roman" w:hAnsi="Times New Roman" w:cs="Times New Roman"/>
          <w:sz w:val="24"/>
        </w:rPr>
        <w:t xml:space="preserve">have therefore failed to demonstrate truly uncorrelated properties. </w:t>
      </w:r>
      <w:r w:rsidR="00327421" w:rsidRPr="005A742E">
        <w:rPr>
          <w:rFonts w:ascii="Times New Roman" w:hAnsi="Times New Roman" w:cs="Times New Roman"/>
          <w:sz w:val="24"/>
        </w:rPr>
        <w:br/>
      </w:r>
      <w:r w:rsidR="00DD352C" w:rsidRPr="005A742E">
        <w:rPr>
          <w:rFonts w:ascii="Times New Roman" w:hAnsi="Times New Roman" w:cs="Times New Roman"/>
          <w:sz w:val="24"/>
        </w:rPr>
        <w:br/>
      </w:r>
      <w:r w:rsidR="00725F32" w:rsidRPr="005A742E">
        <w:rPr>
          <w:rFonts w:ascii="Times New Roman" w:hAnsi="Times New Roman" w:cs="Times New Roman"/>
          <w:sz w:val="24"/>
        </w:rPr>
        <w:t xml:space="preserve">Innovation has always </w:t>
      </w:r>
      <w:r w:rsidR="006562DC" w:rsidRPr="005A742E">
        <w:rPr>
          <w:rFonts w:ascii="Times New Roman" w:hAnsi="Times New Roman" w:cs="Times New Roman"/>
          <w:sz w:val="24"/>
        </w:rPr>
        <w:t>been at the core of the al</w:t>
      </w:r>
      <w:r w:rsidR="00775EF1" w:rsidRPr="005A742E">
        <w:rPr>
          <w:rFonts w:ascii="Times New Roman" w:hAnsi="Times New Roman" w:cs="Times New Roman"/>
          <w:sz w:val="24"/>
        </w:rPr>
        <w:t xml:space="preserve">ternative investment philosophy. It </w:t>
      </w:r>
      <w:r w:rsidR="006562DC" w:rsidRPr="005A742E">
        <w:rPr>
          <w:rFonts w:ascii="Times New Roman" w:hAnsi="Times New Roman" w:cs="Times New Roman"/>
          <w:sz w:val="24"/>
        </w:rPr>
        <w:t xml:space="preserve">led to the discovery of a </w:t>
      </w:r>
      <w:r w:rsidR="00DD352C" w:rsidRPr="005A742E">
        <w:rPr>
          <w:rFonts w:ascii="Times New Roman" w:hAnsi="Times New Roman" w:cs="Times New Roman"/>
          <w:sz w:val="24"/>
        </w:rPr>
        <w:t xml:space="preserve">multiplicity of new asset classes but only few </w:t>
      </w:r>
      <w:r w:rsidR="006562DC" w:rsidRPr="005A742E">
        <w:rPr>
          <w:rFonts w:ascii="Times New Roman" w:hAnsi="Times New Roman" w:cs="Times New Roman"/>
          <w:sz w:val="24"/>
        </w:rPr>
        <w:t xml:space="preserve">managed to capture the requirements of the institutional investors, most </w:t>
      </w:r>
      <w:r w:rsidR="00FD6E4F" w:rsidRPr="005A742E">
        <w:rPr>
          <w:rFonts w:ascii="Times New Roman" w:hAnsi="Times New Roman" w:cs="Times New Roman"/>
          <w:sz w:val="24"/>
        </w:rPr>
        <w:t xml:space="preserve">notably </w:t>
      </w:r>
      <w:r w:rsidR="0088728C" w:rsidRPr="005A742E">
        <w:rPr>
          <w:rFonts w:ascii="Times New Roman" w:hAnsi="Times New Roman" w:cs="Times New Roman"/>
          <w:sz w:val="24"/>
        </w:rPr>
        <w:t>an</w:t>
      </w:r>
      <w:r w:rsidR="006773BB" w:rsidRPr="005A742E">
        <w:rPr>
          <w:rFonts w:ascii="Times New Roman" w:hAnsi="Times New Roman" w:cs="Times New Roman"/>
          <w:sz w:val="24"/>
        </w:rPr>
        <w:t xml:space="preserve"> Insurance-Linked Securities.</w:t>
      </w:r>
      <w:r w:rsidR="00DD352C" w:rsidRPr="005A742E">
        <w:rPr>
          <w:rFonts w:ascii="Times New Roman" w:hAnsi="Times New Roman" w:cs="Times New Roman"/>
          <w:sz w:val="24"/>
        </w:rPr>
        <w:t xml:space="preserve"> </w:t>
      </w:r>
      <w:r w:rsidR="00936589" w:rsidRPr="005A742E">
        <w:rPr>
          <w:rFonts w:ascii="Times New Roman" w:hAnsi="Times New Roman" w:cs="Times New Roman"/>
          <w:sz w:val="24"/>
        </w:rPr>
        <w:br/>
      </w:r>
      <w:r w:rsidR="00936589" w:rsidRPr="005A742E">
        <w:rPr>
          <w:rFonts w:ascii="Times New Roman" w:hAnsi="Times New Roman" w:cs="Times New Roman"/>
          <w:sz w:val="24"/>
        </w:rPr>
        <w:br/>
      </w:r>
      <w:r w:rsidR="00CC7A24" w:rsidRPr="005A742E">
        <w:rPr>
          <w:rFonts w:ascii="Times New Roman" w:hAnsi="Times New Roman" w:cs="Times New Roman"/>
          <w:sz w:val="24"/>
        </w:rPr>
        <w:t xml:space="preserve">ILS </w:t>
      </w:r>
      <w:r w:rsidR="00775EF1" w:rsidRPr="005A742E">
        <w:rPr>
          <w:rFonts w:ascii="Times New Roman" w:hAnsi="Times New Roman" w:cs="Times New Roman"/>
          <w:sz w:val="24"/>
        </w:rPr>
        <w:t>represent a broad</w:t>
      </w:r>
      <w:r w:rsidR="00CC7A24" w:rsidRPr="005A742E">
        <w:rPr>
          <w:rFonts w:ascii="Times New Roman" w:hAnsi="Times New Roman" w:cs="Times New Roman"/>
          <w:sz w:val="24"/>
        </w:rPr>
        <w:t xml:space="preserve"> </w:t>
      </w:r>
      <w:r w:rsidR="00964ABE" w:rsidRPr="005A742E">
        <w:rPr>
          <w:rFonts w:ascii="Times New Roman" w:hAnsi="Times New Roman" w:cs="Times New Roman"/>
          <w:sz w:val="24"/>
        </w:rPr>
        <w:t>spectre</w:t>
      </w:r>
      <w:r w:rsidR="00CC7A24" w:rsidRPr="005A742E">
        <w:rPr>
          <w:rFonts w:ascii="Times New Roman" w:hAnsi="Times New Roman" w:cs="Times New Roman"/>
          <w:sz w:val="24"/>
        </w:rPr>
        <w:t xml:space="preserve"> of financial instruments</w:t>
      </w:r>
      <w:r w:rsidR="00386037" w:rsidRPr="005A742E">
        <w:rPr>
          <w:rFonts w:ascii="Times New Roman" w:hAnsi="Times New Roman" w:cs="Times New Roman"/>
          <w:sz w:val="24"/>
        </w:rPr>
        <w:t>,</w:t>
      </w:r>
      <w:r w:rsidR="00CC7A24" w:rsidRPr="005A742E">
        <w:rPr>
          <w:rFonts w:ascii="Times New Roman" w:hAnsi="Times New Roman" w:cs="Times New Roman"/>
          <w:sz w:val="24"/>
        </w:rPr>
        <w:t xml:space="preserve"> </w:t>
      </w:r>
      <w:r w:rsidR="00964ABE" w:rsidRPr="005A742E">
        <w:rPr>
          <w:rFonts w:ascii="Times New Roman" w:hAnsi="Times New Roman" w:cs="Times New Roman"/>
          <w:sz w:val="24"/>
        </w:rPr>
        <w:t xml:space="preserve">all </w:t>
      </w:r>
      <w:r w:rsidR="005613DF" w:rsidRPr="005A742E">
        <w:rPr>
          <w:rFonts w:ascii="Times New Roman" w:hAnsi="Times New Roman" w:cs="Times New Roman"/>
          <w:sz w:val="24"/>
        </w:rPr>
        <w:t xml:space="preserve">based on </w:t>
      </w:r>
      <w:r w:rsidR="00386037" w:rsidRPr="005A742E">
        <w:rPr>
          <w:rFonts w:ascii="Times New Roman" w:hAnsi="Times New Roman" w:cs="Times New Roman"/>
          <w:sz w:val="24"/>
        </w:rPr>
        <w:t xml:space="preserve">the </w:t>
      </w:r>
      <w:r w:rsidR="005613DF" w:rsidRPr="005A742E">
        <w:rPr>
          <w:rFonts w:ascii="Times New Roman" w:hAnsi="Times New Roman" w:cs="Times New Roman"/>
          <w:sz w:val="24"/>
        </w:rPr>
        <w:t xml:space="preserve">same principle: </w:t>
      </w:r>
      <w:r w:rsidR="00386037" w:rsidRPr="005A742E">
        <w:rPr>
          <w:rFonts w:ascii="Times New Roman" w:hAnsi="Times New Roman" w:cs="Times New Roman"/>
          <w:sz w:val="24"/>
        </w:rPr>
        <w:t>assessment of the insurance risk</w:t>
      </w:r>
      <w:r w:rsidR="003F0070" w:rsidRPr="005A742E">
        <w:rPr>
          <w:rFonts w:ascii="Times New Roman" w:hAnsi="Times New Roman" w:cs="Times New Roman"/>
          <w:sz w:val="24"/>
        </w:rPr>
        <w:t>, covering for the specific event such as but not limited to catastrophe or person’s death. Their performance is therefore contingent on the occurrence of the specific insurance event.</w:t>
      </w:r>
    </w:p>
    <w:p w14:paraId="1263D644" w14:textId="77777777" w:rsidR="002553D2" w:rsidRPr="005A742E" w:rsidRDefault="002553D2" w:rsidP="002553D2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</w:p>
    <w:p w14:paraId="6DADD282" w14:textId="4686AC0C" w:rsidR="00B629AA" w:rsidRPr="005A742E" w:rsidRDefault="003F0070" w:rsidP="002553D2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  <w:r w:rsidRPr="005A742E">
        <w:rPr>
          <w:rFonts w:ascii="Times New Roman" w:hAnsi="Times New Roman" w:cs="Times New Roman"/>
          <w:sz w:val="24"/>
        </w:rPr>
        <w:lastRenderedPageBreak/>
        <w:t>There are</w:t>
      </w:r>
      <w:r w:rsidR="005613DF" w:rsidRPr="005A742E">
        <w:rPr>
          <w:rFonts w:ascii="Times New Roman" w:hAnsi="Times New Roman" w:cs="Times New Roman"/>
          <w:sz w:val="24"/>
        </w:rPr>
        <w:t xml:space="preserve"> 2 main categories: Non-Life Insurance Linked Securities (i.e. Catastrophe Bonds et al.) and Life Insurance Linked Securities (i.e. Life Settlements et al.).</w:t>
      </w:r>
      <w:r w:rsidR="00917DE0" w:rsidRPr="005A742E">
        <w:rPr>
          <w:rFonts w:ascii="Times New Roman" w:hAnsi="Times New Roman" w:cs="Times New Roman"/>
          <w:sz w:val="24"/>
        </w:rPr>
        <w:br/>
      </w:r>
      <w:r w:rsidR="00983CA9" w:rsidRPr="007F2106">
        <w:rPr>
          <w:rFonts w:ascii="Times New Roman" w:hAnsi="Times New Roman" w:cs="Times New Roman"/>
          <w:sz w:val="24"/>
        </w:rPr>
        <w:t xml:space="preserve">Both main types fall below the ESG-oriented investments (Environmental Social and Corporate Governance), particularly Catastrophe Bonds for what it concerns the </w:t>
      </w:r>
      <w:r w:rsidR="00964ABE" w:rsidRPr="007F2106">
        <w:rPr>
          <w:rFonts w:ascii="Times New Roman" w:hAnsi="Times New Roman" w:cs="Times New Roman"/>
          <w:sz w:val="24"/>
        </w:rPr>
        <w:t>E -</w:t>
      </w:r>
      <w:r w:rsidR="00983CA9" w:rsidRPr="007F2106">
        <w:rPr>
          <w:rFonts w:ascii="Times New Roman" w:hAnsi="Times New Roman" w:cs="Times New Roman"/>
          <w:sz w:val="24"/>
        </w:rPr>
        <w:t xml:space="preserve">Environmental </w:t>
      </w:r>
      <w:r w:rsidR="00964ABE" w:rsidRPr="007F2106">
        <w:rPr>
          <w:rFonts w:ascii="Times New Roman" w:hAnsi="Times New Roman" w:cs="Times New Roman"/>
          <w:sz w:val="24"/>
        </w:rPr>
        <w:t xml:space="preserve">- </w:t>
      </w:r>
      <w:r w:rsidR="00983CA9" w:rsidRPr="007F2106">
        <w:rPr>
          <w:rFonts w:ascii="Times New Roman" w:hAnsi="Times New Roman" w:cs="Times New Roman"/>
          <w:sz w:val="24"/>
        </w:rPr>
        <w:t xml:space="preserve">part (designed to provide additional sources of capital to help the broader societal goal of helping countries and communities recover from disastrous events) and Life Settlements for the </w:t>
      </w:r>
      <w:r w:rsidR="00964ABE" w:rsidRPr="007F2106">
        <w:rPr>
          <w:rFonts w:ascii="Times New Roman" w:hAnsi="Times New Roman" w:cs="Times New Roman"/>
          <w:sz w:val="24"/>
        </w:rPr>
        <w:t xml:space="preserve">S – </w:t>
      </w:r>
      <w:r w:rsidR="00983CA9" w:rsidRPr="007F2106">
        <w:rPr>
          <w:rFonts w:ascii="Times New Roman" w:hAnsi="Times New Roman" w:cs="Times New Roman"/>
          <w:sz w:val="24"/>
        </w:rPr>
        <w:t>Social</w:t>
      </w:r>
      <w:r w:rsidR="00964ABE" w:rsidRPr="007F2106">
        <w:rPr>
          <w:rFonts w:ascii="Times New Roman" w:hAnsi="Times New Roman" w:cs="Times New Roman"/>
          <w:sz w:val="24"/>
        </w:rPr>
        <w:t xml:space="preserve"> -</w:t>
      </w:r>
      <w:r w:rsidR="00983CA9" w:rsidRPr="007F2106">
        <w:rPr>
          <w:rFonts w:ascii="Times New Roman" w:hAnsi="Times New Roman" w:cs="Times New Roman"/>
          <w:sz w:val="24"/>
        </w:rPr>
        <w:t xml:space="preserve"> part (provid</w:t>
      </w:r>
      <w:r w:rsidR="004B16B6" w:rsidRPr="007F2106">
        <w:rPr>
          <w:rFonts w:ascii="Times New Roman" w:hAnsi="Times New Roman" w:cs="Times New Roman"/>
          <w:sz w:val="24"/>
        </w:rPr>
        <w:t>ing</w:t>
      </w:r>
      <w:r w:rsidR="00983CA9" w:rsidRPr="007F2106">
        <w:rPr>
          <w:rFonts w:ascii="Times New Roman" w:hAnsi="Times New Roman" w:cs="Times New Roman"/>
          <w:sz w:val="24"/>
        </w:rPr>
        <w:t xml:space="preserve"> </w:t>
      </w:r>
      <w:r w:rsidRPr="007F2106">
        <w:rPr>
          <w:rFonts w:ascii="Times New Roman" w:hAnsi="Times New Roman" w:cs="Times New Roman"/>
          <w:sz w:val="24"/>
        </w:rPr>
        <w:t xml:space="preserve">much needed </w:t>
      </w:r>
      <w:r w:rsidR="004B16B6" w:rsidRPr="007F2106">
        <w:rPr>
          <w:rFonts w:ascii="Times New Roman" w:hAnsi="Times New Roman" w:cs="Times New Roman"/>
          <w:sz w:val="24"/>
        </w:rPr>
        <w:t>liquidity to seniors</w:t>
      </w:r>
      <w:r w:rsidR="00983CA9" w:rsidRPr="007F2106">
        <w:rPr>
          <w:rFonts w:ascii="Times New Roman" w:hAnsi="Times New Roman" w:cs="Times New Roman"/>
          <w:sz w:val="24"/>
        </w:rPr>
        <w:t xml:space="preserve"> in possession of unwanted or unneeded life insurance policy).</w:t>
      </w:r>
      <w:r w:rsidR="00FD06BF" w:rsidRPr="007F2106">
        <w:rPr>
          <w:rStyle w:val="acopre"/>
          <w:sz w:val="20"/>
          <w:vertAlign w:val="superscript"/>
        </w:rPr>
        <w:t>7</w:t>
      </w:r>
    </w:p>
    <w:p w14:paraId="7D4F40C1" w14:textId="77777777" w:rsidR="00B629AA" w:rsidRPr="005A742E" w:rsidRDefault="002B2486" w:rsidP="00EE5263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5A742E">
        <w:rPr>
          <w:rFonts w:ascii="Times New Roman" w:hAnsi="Times New Roman" w:cs="Times New Roman"/>
          <w:sz w:val="24"/>
        </w:rPr>
        <w:t xml:space="preserve">Let’s take a deeper look at </w:t>
      </w:r>
      <w:r w:rsidR="004B16B6" w:rsidRPr="005A742E">
        <w:rPr>
          <w:rFonts w:ascii="Times New Roman" w:hAnsi="Times New Roman" w:cs="Times New Roman"/>
          <w:sz w:val="24"/>
        </w:rPr>
        <w:t>the latter one.</w:t>
      </w:r>
      <w:r w:rsidR="00C75F48" w:rsidRPr="005A742E">
        <w:rPr>
          <w:rFonts w:ascii="Times New Roman" w:hAnsi="Times New Roman" w:cs="Times New Roman"/>
          <w:b/>
          <w:sz w:val="28"/>
          <w:u w:val="single"/>
        </w:rPr>
        <w:br/>
      </w:r>
    </w:p>
    <w:p w14:paraId="1DD300DE" w14:textId="72C8FA28" w:rsidR="003F0070" w:rsidRPr="005A742E" w:rsidRDefault="00E621E8" w:rsidP="00B629AA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  <w:bookmarkStart w:id="10" w:name="_Toc54885940"/>
      <w:bookmarkStart w:id="11" w:name="_Toc54886034"/>
      <w:r w:rsidRPr="00A423BA">
        <w:rPr>
          <w:rStyle w:val="Heading3Char"/>
          <w:i/>
          <w:color w:val="auto"/>
          <w:sz w:val="28"/>
          <w:u w:val="single"/>
        </w:rPr>
        <w:t>III</w:t>
      </w:r>
      <w:r w:rsidR="00003EE2" w:rsidRPr="00A423BA">
        <w:rPr>
          <w:rStyle w:val="Heading3Char"/>
          <w:i/>
          <w:color w:val="auto"/>
          <w:sz w:val="28"/>
          <w:u w:val="single"/>
        </w:rPr>
        <w:t xml:space="preserve">) Life </w:t>
      </w:r>
      <w:r w:rsidR="000516E3" w:rsidRPr="00A423BA">
        <w:rPr>
          <w:rStyle w:val="Heading3Char"/>
          <w:i/>
          <w:color w:val="auto"/>
          <w:sz w:val="28"/>
          <w:u w:val="single"/>
        </w:rPr>
        <w:t>Insurance Securities</w:t>
      </w:r>
      <w:bookmarkEnd w:id="10"/>
      <w:bookmarkEnd w:id="11"/>
      <w:r w:rsidR="00F55138" w:rsidRPr="005A742E">
        <w:rPr>
          <w:rFonts w:ascii="Times New Roman" w:hAnsi="Times New Roman" w:cs="Times New Roman"/>
          <w:b/>
          <w:sz w:val="24"/>
          <w:u w:val="single"/>
        </w:rPr>
        <w:br/>
      </w:r>
      <w:r w:rsidR="00A55413" w:rsidRPr="005A742E">
        <w:rPr>
          <w:rFonts w:ascii="Times New Roman" w:hAnsi="Times New Roman" w:cs="Times New Roman"/>
          <w:sz w:val="24"/>
        </w:rPr>
        <w:br/>
      </w:r>
      <w:r w:rsidR="008475D1" w:rsidRPr="005A742E">
        <w:rPr>
          <w:rFonts w:ascii="Times New Roman" w:hAnsi="Times New Roman" w:cs="Times New Roman"/>
          <w:sz w:val="24"/>
        </w:rPr>
        <w:t xml:space="preserve">Life </w:t>
      </w:r>
      <w:r w:rsidR="003F0070" w:rsidRPr="005A742E">
        <w:rPr>
          <w:rFonts w:ascii="Times New Roman" w:hAnsi="Times New Roman" w:cs="Times New Roman"/>
          <w:sz w:val="24"/>
        </w:rPr>
        <w:t>settlements is</w:t>
      </w:r>
      <w:r w:rsidR="008475D1" w:rsidRPr="005A742E">
        <w:rPr>
          <w:rFonts w:ascii="Times New Roman" w:hAnsi="Times New Roman" w:cs="Times New Roman"/>
          <w:sz w:val="24"/>
        </w:rPr>
        <w:t xml:space="preserve"> the subcategory of ILS </w:t>
      </w:r>
      <w:r w:rsidR="008475D1" w:rsidRPr="007F2106">
        <w:rPr>
          <w:rFonts w:ascii="Times New Roman" w:hAnsi="Times New Roman" w:cs="Times New Roman"/>
          <w:sz w:val="24"/>
        </w:rPr>
        <w:t>for which the underlying value is</w:t>
      </w:r>
      <w:r w:rsidR="00A94928" w:rsidRPr="007F2106">
        <w:rPr>
          <w:rFonts w:ascii="Times New Roman" w:hAnsi="Times New Roman" w:cs="Times New Roman"/>
          <w:sz w:val="24"/>
        </w:rPr>
        <w:t xml:space="preserve"> </w:t>
      </w:r>
      <w:r w:rsidR="003F0070" w:rsidRPr="007F2106">
        <w:rPr>
          <w:rFonts w:ascii="Times New Roman" w:hAnsi="Times New Roman" w:cs="Times New Roman"/>
          <w:sz w:val="24"/>
        </w:rPr>
        <w:t xml:space="preserve">contingent </w:t>
      </w:r>
      <w:r w:rsidR="00B04EF4" w:rsidRPr="007F2106">
        <w:rPr>
          <w:rFonts w:ascii="Times New Roman" w:hAnsi="Times New Roman" w:cs="Times New Roman"/>
          <w:sz w:val="24"/>
        </w:rPr>
        <w:t>on the</w:t>
      </w:r>
      <w:r w:rsidR="00C76C47" w:rsidRPr="007F2106">
        <w:rPr>
          <w:rFonts w:ascii="Times New Roman" w:hAnsi="Times New Roman" w:cs="Times New Roman"/>
          <w:sz w:val="24"/>
        </w:rPr>
        <w:t xml:space="preserve"> </w:t>
      </w:r>
      <w:r w:rsidR="003F0070" w:rsidRPr="007F2106">
        <w:rPr>
          <w:rFonts w:ascii="Times New Roman" w:hAnsi="Times New Roman" w:cs="Times New Roman"/>
          <w:sz w:val="24"/>
        </w:rPr>
        <w:t>so called</w:t>
      </w:r>
      <w:r w:rsidR="008475D1" w:rsidRPr="007F2106">
        <w:rPr>
          <w:rFonts w:ascii="Times New Roman" w:hAnsi="Times New Roman" w:cs="Times New Roman"/>
          <w:sz w:val="24"/>
        </w:rPr>
        <w:t xml:space="preserve"> life expecta</w:t>
      </w:r>
      <w:r w:rsidR="00A94928" w:rsidRPr="007F2106">
        <w:rPr>
          <w:rFonts w:ascii="Times New Roman" w:hAnsi="Times New Roman" w:cs="Times New Roman"/>
          <w:sz w:val="24"/>
        </w:rPr>
        <w:t>ncy or longevity risk.</w:t>
      </w:r>
      <w:r w:rsidR="003F0070" w:rsidRPr="007F2106" w:rsidDel="003F0070">
        <w:rPr>
          <w:rFonts w:ascii="Times New Roman" w:hAnsi="Times New Roman" w:cs="Times New Roman"/>
          <w:sz w:val="24"/>
        </w:rPr>
        <w:t xml:space="preserve"> </w:t>
      </w:r>
      <w:r w:rsidR="00A94928" w:rsidRPr="007F2106">
        <w:rPr>
          <w:rFonts w:ascii="Times New Roman" w:hAnsi="Times New Roman" w:cs="Times New Roman"/>
          <w:sz w:val="24"/>
        </w:rPr>
        <w:t>Next to IT and healthcare, this is o</w:t>
      </w:r>
      <w:r w:rsidR="00A55413" w:rsidRPr="007F2106">
        <w:rPr>
          <w:rFonts w:ascii="Times New Roman" w:hAnsi="Times New Roman" w:cs="Times New Roman"/>
          <w:sz w:val="24"/>
        </w:rPr>
        <w:t>ne of the few asset class</w:t>
      </w:r>
      <w:r w:rsidR="00A94928" w:rsidRPr="007F2106">
        <w:rPr>
          <w:rFonts w:ascii="Times New Roman" w:hAnsi="Times New Roman" w:cs="Times New Roman"/>
          <w:sz w:val="24"/>
        </w:rPr>
        <w:t>es</w:t>
      </w:r>
      <w:r w:rsidR="00A55413" w:rsidRPr="007F2106">
        <w:rPr>
          <w:rFonts w:ascii="Times New Roman" w:hAnsi="Times New Roman" w:cs="Times New Roman"/>
          <w:sz w:val="24"/>
        </w:rPr>
        <w:t xml:space="preserve"> positive</w:t>
      </w:r>
      <w:r w:rsidR="00301FAE" w:rsidRPr="007F2106">
        <w:rPr>
          <w:rFonts w:ascii="Times New Roman" w:hAnsi="Times New Roman" w:cs="Times New Roman"/>
          <w:sz w:val="24"/>
        </w:rPr>
        <w:t xml:space="preserve">ly impacted by </w:t>
      </w:r>
      <w:r w:rsidR="00C76C47" w:rsidRPr="007F2106">
        <w:rPr>
          <w:rFonts w:ascii="Times New Roman" w:hAnsi="Times New Roman" w:cs="Times New Roman"/>
          <w:sz w:val="24"/>
        </w:rPr>
        <w:t>the</w:t>
      </w:r>
      <w:r w:rsidR="00CB33CE" w:rsidRPr="007F2106">
        <w:rPr>
          <w:rFonts w:ascii="Times New Roman" w:hAnsi="Times New Roman" w:cs="Times New Roman"/>
          <w:sz w:val="24"/>
        </w:rPr>
        <w:t xml:space="preserve"> </w:t>
      </w:r>
      <w:r w:rsidR="003F0070" w:rsidRPr="007F2106">
        <w:rPr>
          <w:rFonts w:ascii="Times New Roman" w:hAnsi="Times New Roman" w:cs="Times New Roman"/>
          <w:sz w:val="24"/>
        </w:rPr>
        <w:t>COVID</w:t>
      </w:r>
      <w:r w:rsidR="00301FAE" w:rsidRPr="007F2106">
        <w:rPr>
          <w:rFonts w:ascii="Times New Roman" w:hAnsi="Times New Roman" w:cs="Times New Roman"/>
          <w:sz w:val="24"/>
        </w:rPr>
        <w:t xml:space="preserve">-19 crisis, due to </w:t>
      </w:r>
      <w:r w:rsidR="003F0070" w:rsidRPr="007F2106">
        <w:rPr>
          <w:rFonts w:ascii="Times New Roman" w:hAnsi="Times New Roman" w:cs="Times New Roman"/>
          <w:sz w:val="24"/>
        </w:rPr>
        <w:t>its underlying</w:t>
      </w:r>
      <w:r w:rsidR="00301FAE" w:rsidRPr="007F2106">
        <w:rPr>
          <w:rFonts w:ascii="Times New Roman" w:hAnsi="Times New Roman" w:cs="Times New Roman"/>
          <w:sz w:val="24"/>
        </w:rPr>
        <w:t xml:space="preserve"> asset.</w:t>
      </w:r>
      <w:r w:rsidR="00FD06BF" w:rsidRPr="007F2106">
        <w:rPr>
          <w:rStyle w:val="acopre"/>
          <w:sz w:val="20"/>
          <w:vertAlign w:val="superscript"/>
        </w:rPr>
        <w:t>8</w:t>
      </w:r>
    </w:p>
    <w:p w14:paraId="17E69A07" w14:textId="77777777" w:rsidR="001D4E53" w:rsidRPr="005A742E" w:rsidRDefault="00091B24" w:rsidP="00FD6E4F">
      <w:pPr>
        <w:pStyle w:val="NormalWeb"/>
        <w:spacing w:before="0"/>
      </w:pPr>
      <w:r w:rsidRPr="005A742E">
        <w:t xml:space="preserve">Several factors led to the inception of Life Settlements. </w:t>
      </w:r>
    </w:p>
    <w:p w14:paraId="4F490AB5" w14:textId="77777777" w:rsidR="00140F47" w:rsidRDefault="00091B24" w:rsidP="00140F47">
      <w:pPr>
        <w:pStyle w:val="NormalWeb"/>
        <w:spacing w:before="0" w:beforeAutospacing="0" w:after="0" w:afterAutospacing="0"/>
      </w:pPr>
      <w:r w:rsidRPr="005A742E">
        <w:t xml:space="preserve">First of all, the huge volume of active life insurance in US. </w:t>
      </w:r>
    </w:p>
    <w:p w14:paraId="594BBC29" w14:textId="77777777" w:rsidR="00140F47" w:rsidRDefault="00091B24" w:rsidP="00140F47">
      <w:pPr>
        <w:pStyle w:val="NormalWeb"/>
        <w:spacing w:before="0" w:beforeAutospacing="0" w:after="0" w:afterAutospacing="0"/>
      </w:pPr>
      <w:r w:rsidRPr="005A742E">
        <w:t xml:space="preserve">Secondly, the regulatory </w:t>
      </w:r>
      <w:r w:rsidR="00C76C47" w:rsidRPr="005A742E">
        <w:t>framework which has established</w:t>
      </w:r>
      <w:r w:rsidR="00140F47">
        <w:t xml:space="preserve"> </w:t>
      </w:r>
      <w:r w:rsidR="00CD0BBC" w:rsidRPr="005A742E">
        <w:t xml:space="preserve">life insurance policy </w:t>
      </w:r>
      <w:r w:rsidR="00C76C47" w:rsidRPr="005A742E">
        <w:t>to be a private</w:t>
      </w:r>
      <w:r w:rsidR="00CD0BBC" w:rsidRPr="005A742E">
        <w:t xml:space="preserve"> </w:t>
      </w:r>
      <w:r w:rsidR="00C76C47" w:rsidRPr="005A742E">
        <w:t>property</w:t>
      </w:r>
      <w:r w:rsidR="00140F47">
        <w:t>.</w:t>
      </w:r>
    </w:p>
    <w:p w14:paraId="5875F40C" w14:textId="77777777" w:rsidR="00325E92" w:rsidRDefault="00734575" w:rsidP="00140F47">
      <w:pPr>
        <w:pStyle w:val="NormalWeb"/>
        <w:spacing w:before="0" w:beforeAutospacing="0" w:after="0" w:afterAutospacing="0"/>
      </w:pPr>
      <w:r w:rsidRPr="005A742E">
        <w:t>Third</w:t>
      </w:r>
      <w:r w:rsidR="00C76C47" w:rsidRPr="005A742E">
        <w:t>, t</w:t>
      </w:r>
      <w:r w:rsidR="00CD0BBC" w:rsidRPr="005A742E">
        <w:t xml:space="preserve">he aging population and </w:t>
      </w:r>
      <w:r w:rsidRPr="005A742E">
        <w:t>skyrocketing policy laps</w:t>
      </w:r>
      <w:r w:rsidR="00083997" w:rsidRPr="005A742E">
        <w:t>e</w:t>
      </w:r>
      <w:r w:rsidRPr="005A742E">
        <w:t xml:space="preserve"> rates</w:t>
      </w:r>
      <w:r w:rsidR="00CD0BBC" w:rsidRPr="005A742E">
        <w:t xml:space="preserve"> </w:t>
      </w:r>
      <w:r w:rsidRPr="005A742E">
        <w:t xml:space="preserve">which caused </w:t>
      </w:r>
      <w:r w:rsidR="00CD0BBC" w:rsidRPr="005A742E">
        <w:t>many US senior</w:t>
      </w:r>
      <w:r w:rsidRPr="005A742E">
        <w:t>s</w:t>
      </w:r>
      <w:r w:rsidR="00CD0BBC" w:rsidRPr="005A742E">
        <w:t xml:space="preserve">, </w:t>
      </w:r>
      <w:r w:rsidRPr="005A742E">
        <w:t>to look for an exit strategy for an unwanted or</w:t>
      </w:r>
      <w:r w:rsidR="00CD0BBC" w:rsidRPr="005A742E">
        <w:t xml:space="preserve"> unneeded</w:t>
      </w:r>
      <w:r w:rsidRPr="005A742E">
        <w:t xml:space="preserve"> life insurance</w:t>
      </w:r>
      <w:r w:rsidR="00CD0BBC" w:rsidRPr="005A742E">
        <w:t xml:space="preserve"> polic</w:t>
      </w:r>
      <w:r w:rsidRPr="005A742E">
        <w:t>y.</w:t>
      </w:r>
    </w:p>
    <w:p w14:paraId="2266DDE8" w14:textId="40205091" w:rsidR="00A34816" w:rsidRPr="005A742E" w:rsidRDefault="00CD0BBC" w:rsidP="00140F47">
      <w:pPr>
        <w:pStyle w:val="NormalWeb"/>
        <w:spacing w:before="0" w:beforeAutospacing="0" w:after="0" w:afterAutospacing="0"/>
      </w:pPr>
      <w:r w:rsidRPr="005A742E">
        <w:t xml:space="preserve"> </w:t>
      </w:r>
    </w:p>
    <w:p w14:paraId="42D50324" w14:textId="566DA49D" w:rsidR="001A222A" w:rsidRPr="005A742E" w:rsidRDefault="00A34816" w:rsidP="00140F47">
      <w:pPr>
        <w:pStyle w:val="NormalWeb"/>
        <w:spacing w:before="0" w:beforeAutospacing="0" w:after="0" w:afterAutospacing="0"/>
      </w:pPr>
      <w:r w:rsidRPr="005A742E">
        <w:t>I</w:t>
      </w:r>
      <w:r w:rsidR="00734575" w:rsidRPr="005A742E">
        <w:t xml:space="preserve">n favour of </w:t>
      </w:r>
      <w:r w:rsidR="00C1581B" w:rsidRPr="005A742E">
        <w:t>covering</w:t>
      </w:r>
      <w:r w:rsidR="00734575" w:rsidRPr="005A742E">
        <w:t xml:space="preserve"> more immediate healthcare </w:t>
      </w:r>
      <w:r w:rsidR="00C1581B" w:rsidRPr="005A742E">
        <w:t>or pension expenses. Further 2017 amendments to the</w:t>
      </w:r>
      <w:r w:rsidRPr="005A742E">
        <w:t xml:space="preserve"> </w:t>
      </w:r>
      <w:r w:rsidR="00CD0BBC" w:rsidRPr="005A742E">
        <w:t xml:space="preserve">federal estate tax exemption </w:t>
      </w:r>
      <w:r w:rsidR="00C1581B" w:rsidRPr="005A742E">
        <w:t xml:space="preserve">have made more policies obsolete. </w:t>
      </w:r>
      <w:r w:rsidR="009D1391" w:rsidRPr="005A742E">
        <w:br/>
      </w:r>
      <w:r w:rsidR="00C1581B" w:rsidRPr="005A742E">
        <w:t>LS supply</w:t>
      </w:r>
      <w:r w:rsidR="00DE4B85" w:rsidRPr="005A742E">
        <w:t xml:space="preserve"> </w:t>
      </w:r>
      <w:r w:rsidR="00285AAB" w:rsidRPr="005A742E">
        <w:t xml:space="preserve">curve </w:t>
      </w:r>
      <w:r w:rsidR="00C1581B" w:rsidRPr="005A742E">
        <w:t>is therefore poised to</w:t>
      </w:r>
      <w:r w:rsidR="00285AAB" w:rsidRPr="005A742E">
        <w:t xml:space="preserve"> </w:t>
      </w:r>
      <w:r w:rsidR="00DE4B85" w:rsidRPr="005A742E">
        <w:t>shift to the right</w:t>
      </w:r>
      <w:r w:rsidR="00285AAB" w:rsidRPr="005A742E">
        <w:t xml:space="preserve"> within next years and </w:t>
      </w:r>
      <w:r w:rsidR="00C1581B" w:rsidRPr="005A742E">
        <w:t>while the attractive</w:t>
      </w:r>
      <w:r w:rsidR="00285AAB" w:rsidRPr="005A742E">
        <w:t xml:space="preserve"> yield</w:t>
      </w:r>
      <w:r w:rsidR="00C1581B" w:rsidRPr="005A742E">
        <w:t>s</w:t>
      </w:r>
      <w:r w:rsidR="00285AAB" w:rsidRPr="005A742E">
        <w:t xml:space="preserve"> </w:t>
      </w:r>
      <w:r w:rsidR="00C1581B" w:rsidRPr="005A742E">
        <w:t>have</w:t>
      </w:r>
      <w:r w:rsidR="00DE4B85" w:rsidRPr="005A742E">
        <w:t xml:space="preserve"> already attract</w:t>
      </w:r>
      <w:r w:rsidR="00C1581B" w:rsidRPr="005A742E">
        <w:t>ed</w:t>
      </w:r>
      <w:r w:rsidR="00285AAB" w:rsidRPr="005A742E">
        <w:t xml:space="preserve"> </w:t>
      </w:r>
      <w:r w:rsidR="001032D2" w:rsidRPr="005A742E">
        <w:t>larger</w:t>
      </w:r>
      <w:r w:rsidR="00285AAB" w:rsidRPr="005A742E">
        <w:t xml:space="preserve"> private e</w:t>
      </w:r>
      <w:r w:rsidR="00DE4B85" w:rsidRPr="005A742E">
        <w:t xml:space="preserve">quity houses </w:t>
      </w:r>
      <w:r w:rsidR="00C1581B" w:rsidRPr="005A742E">
        <w:t>to the industry</w:t>
      </w:r>
      <w:r w:rsidR="00DE4B85" w:rsidRPr="005A742E">
        <w:t xml:space="preserve">, thus moving </w:t>
      </w:r>
      <w:r w:rsidR="00C1581B" w:rsidRPr="005A742E">
        <w:t xml:space="preserve">the </w:t>
      </w:r>
      <w:r w:rsidR="00DE4B85" w:rsidRPr="005A742E">
        <w:t xml:space="preserve">demand curve up. </w:t>
      </w:r>
      <w:r w:rsidR="00285AAB" w:rsidRPr="005A742E">
        <w:br/>
      </w:r>
      <w:r w:rsidR="001032D2" w:rsidRPr="005A742E">
        <w:t>From an institutional perspective, w</w:t>
      </w:r>
      <w:r w:rsidR="00285AAB" w:rsidRPr="005A742E">
        <w:t xml:space="preserve">hat </w:t>
      </w:r>
      <w:r w:rsidR="00270DC3" w:rsidRPr="005A742E">
        <w:t>truly</w:t>
      </w:r>
      <w:r w:rsidR="00C1581B" w:rsidRPr="005A742E">
        <w:t xml:space="preserve"> </w:t>
      </w:r>
      <w:r w:rsidR="00285AAB" w:rsidRPr="005A742E">
        <w:t>differentiate</w:t>
      </w:r>
      <w:r w:rsidR="00C1581B" w:rsidRPr="005A742E">
        <w:t>s</w:t>
      </w:r>
      <w:r w:rsidR="00285AAB" w:rsidRPr="005A742E">
        <w:t xml:space="preserve"> life settlements from previous</w:t>
      </w:r>
      <w:r w:rsidR="00C1581B" w:rsidRPr="005A742E">
        <w:t>ly</w:t>
      </w:r>
      <w:r w:rsidR="001032D2" w:rsidRPr="005A742E">
        <w:t xml:space="preserve"> mentioned</w:t>
      </w:r>
      <w:r w:rsidR="00285AAB" w:rsidRPr="005A742E">
        <w:t xml:space="preserve"> alternatives is the robustness of the valuation: </w:t>
      </w:r>
      <w:r w:rsidR="00C1581B" w:rsidRPr="005A742E">
        <w:t>despite the</w:t>
      </w:r>
      <w:r w:rsidR="00285AAB" w:rsidRPr="005A742E">
        <w:t xml:space="preserve"> asset class </w:t>
      </w:r>
      <w:r w:rsidR="00C1581B" w:rsidRPr="005A742E">
        <w:t>being relatively young</w:t>
      </w:r>
      <w:r w:rsidR="00285AAB" w:rsidRPr="005A742E">
        <w:t xml:space="preserve"> and innovative, the fundamentals have been built</w:t>
      </w:r>
      <w:r w:rsidR="00C1581B" w:rsidRPr="005A742E">
        <w:t xml:space="preserve"> on</w:t>
      </w:r>
      <w:r w:rsidR="00285AAB" w:rsidRPr="005A742E">
        <w:t xml:space="preserve"> over a century</w:t>
      </w:r>
      <w:r w:rsidR="00C1581B" w:rsidRPr="005A742E">
        <w:t xml:space="preserve"> old life insurance industry</w:t>
      </w:r>
      <w:r w:rsidR="00285AAB" w:rsidRPr="005A742E">
        <w:t xml:space="preserve">, </w:t>
      </w:r>
      <w:r w:rsidR="00454439" w:rsidRPr="005A742E">
        <w:t>with</w:t>
      </w:r>
      <w:r w:rsidR="00285AAB" w:rsidRPr="005A742E">
        <w:t xml:space="preserve"> valuation models</w:t>
      </w:r>
      <w:r w:rsidR="00454439" w:rsidRPr="005A742E">
        <w:t xml:space="preserve"> in place that have been</w:t>
      </w:r>
      <w:r w:rsidR="00AB1760" w:rsidRPr="005A742E">
        <w:t xml:space="preserve"> </w:t>
      </w:r>
      <w:r w:rsidR="00285AAB" w:rsidRPr="005A742E">
        <w:t xml:space="preserve">largely </w:t>
      </w:r>
      <w:r w:rsidR="00454439" w:rsidRPr="005A742E">
        <w:t xml:space="preserve">utilized by </w:t>
      </w:r>
      <w:r w:rsidR="00285AAB" w:rsidRPr="005A742E">
        <w:t>large pension funds and insuranc</w:t>
      </w:r>
      <w:r w:rsidR="00454439" w:rsidRPr="005A742E">
        <w:t>e carriers for</w:t>
      </w:r>
      <w:r w:rsidR="00906F4A" w:rsidRPr="005A742E">
        <w:t xml:space="preserve"> hundreds of years.</w:t>
      </w:r>
      <w:r w:rsidR="00B2356B" w:rsidRPr="005A742E">
        <w:br/>
      </w:r>
      <w:r w:rsidR="00B2356B" w:rsidRPr="005A742E">
        <w:rPr>
          <w:sz w:val="28"/>
        </w:rPr>
        <w:br/>
      </w:r>
      <w:r w:rsidR="00B2356B" w:rsidRPr="005A742E">
        <w:rPr>
          <w:noProof/>
          <w:sz w:val="28"/>
        </w:rPr>
        <w:lastRenderedPageBreak/>
        <w:drawing>
          <wp:inline distT="0" distB="0" distL="0" distR="0" wp14:anchorId="6C95CB2C" wp14:editId="49A05311">
            <wp:extent cx="4074566" cy="2506894"/>
            <wp:effectExtent l="0" t="0" r="254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95250" cy="251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56B" w:rsidRPr="005A742E">
        <w:rPr>
          <w:sz w:val="28"/>
        </w:rPr>
        <w:br/>
      </w:r>
      <w:r w:rsidR="00285AAB" w:rsidRPr="005A742E">
        <w:rPr>
          <w:sz w:val="28"/>
        </w:rPr>
        <w:br/>
      </w:r>
      <w:r w:rsidR="00285AAB" w:rsidRPr="005A742E">
        <w:t>Longevity risk is historically one of the first risk</w:t>
      </w:r>
      <w:r w:rsidR="00775EF1" w:rsidRPr="005A742E">
        <w:t>s</w:t>
      </w:r>
      <w:r w:rsidR="00285AAB" w:rsidRPr="005A742E">
        <w:t xml:space="preserve"> ever </w:t>
      </w:r>
      <w:r w:rsidR="00270DC3" w:rsidRPr="005A742E">
        <w:t xml:space="preserve">followed </w:t>
      </w:r>
      <w:r w:rsidR="00285AAB" w:rsidRPr="005A742E">
        <w:t>and quantified by humankind.</w:t>
      </w:r>
      <w:r w:rsidR="00285AAB" w:rsidRPr="005A742E">
        <w:br/>
      </w:r>
      <w:r w:rsidR="00775EF1" w:rsidRPr="005A742E">
        <w:t xml:space="preserve">Increasing </w:t>
      </w:r>
      <w:r w:rsidR="003F0070" w:rsidRPr="005A742E">
        <w:t>speed and quality of</w:t>
      </w:r>
      <w:r w:rsidR="00285AAB" w:rsidRPr="005A742E">
        <w:t xml:space="preserve"> </w:t>
      </w:r>
      <w:r w:rsidR="001112E2" w:rsidRPr="005A742E">
        <w:t>data collection</w:t>
      </w:r>
      <w:r w:rsidR="00775EF1" w:rsidRPr="005A742E">
        <w:t xml:space="preserve"> efforts</w:t>
      </w:r>
      <w:r w:rsidR="00906F4A" w:rsidRPr="005A742E">
        <w:t xml:space="preserve">, </w:t>
      </w:r>
      <w:r w:rsidR="00A16E61" w:rsidRPr="005A742E">
        <w:t xml:space="preserve">the </w:t>
      </w:r>
      <w:r w:rsidR="00906F4A" w:rsidRPr="005A742E">
        <w:t xml:space="preserve">improved </w:t>
      </w:r>
      <w:r w:rsidR="001112E2" w:rsidRPr="005A742E">
        <w:t xml:space="preserve">actuarial </w:t>
      </w:r>
      <w:r w:rsidR="00906F4A" w:rsidRPr="005A742E">
        <w:t>analysis</w:t>
      </w:r>
      <w:r w:rsidR="001F1418" w:rsidRPr="005A742E">
        <w:t xml:space="preserve"> of </w:t>
      </w:r>
      <w:r w:rsidR="00270DC3" w:rsidRPr="005A742E">
        <w:t xml:space="preserve">the </w:t>
      </w:r>
      <w:r w:rsidR="001F1418" w:rsidRPr="005A742E">
        <w:t>last years</w:t>
      </w:r>
      <w:r w:rsidR="00906F4A" w:rsidRPr="005A742E">
        <w:t xml:space="preserve"> (s</w:t>
      </w:r>
      <w:r w:rsidR="00285AAB" w:rsidRPr="005A742E">
        <w:t xml:space="preserve">tochastic </w:t>
      </w:r>
      <w:r w:rsidR="00743713" w:rsidRPr="005A742E">
        <w:t>models</w:t>
      </w:r>
      <w:r w:rsidR="00285AAB" w:rsidRPr="005A742E">
        <w:t xml:space="preserve">, </w:t>
      </w:r>
      <w:r w:rsidR="001F1418" w:rsidRPr="005A742E">
        <w:t>Monte</w:t>
      </w:r>
      <w:r w:rsidR="001A222A" w:rsidRPr="005A742E">
        <w:t xml:space="preserve"> </w:t>
      </w:r>
      <w:r w:rsidR="001F1418" w:rsidRPr="005A742E">
        <w:t>C</w:t>
      </w:r>
      <w:r w:rsidR="00906F4A" w:rsidRPr="005A742E">
        <w:t>arlo simulations, stress tests</w:t>
      </w:r>
      <w:r w:rsidR="001112E2" w:rsidRPr="005A742E">
        <w:t xml:space="preserve"> &amp; scenario analysis) made </w:t>
      </w:r>
      <w:r w:rsidR="00775EF1" w:rsidRPr="005A742E">
        <w:t xml:space="preserve">it is </w:t>
      </w:r>
      <w:r w:rsidR="001112E2" w:rsidRPr="005A742E">
        <w:t xml:space="preserve">easier </w:t>
      </w:r>
      <w:r w:rsidR="001F1418" w:rsidRPr="005A742E">
        <w:t>to understand and measure life</w:t>
      </w:r>
      <w:r w:rsidR="001112E2" w:rsidRPr="005A742E">
        <w:t xml:space="preserve"> settlements </w:t>
      </w:r>
      <w:r w:rsidR="00775EF1" w:rsidRPr="005A742E">
        <w:t>when compared to other</w:t>
      </w:r>
      <w:r w:rsidR="001112E2" w:rsidRPr="005A742E">
        <w:t xml:space="preserve"> new asset classes</w:t>
      </w:r>
      <w:r w:rsidR="00270DC3" w:rsidRPr="005A742E">
        <w:t xml:space="preserve">. Ability to measure and stress </w:t>
      </w:r>
      <w:r w:rsidR="00B672DA" w:rsidRPr="005A742E">
        <w:t>test what</w:t>
      </w:r>
      <w:r w:rsidR="00270DC3" w:rsidRPr="005A742E">
        <w:t xml:space="preserve"> is effectively the only truly isolated mortality variable is key for the asset class. </w:t>
      </w:r>
      <w:r w:rsidR="008F1D6A" w:rsidRPr="005A742E">
        <w:t>A robust and reliable valuation method</w:t>
      </w:r>
      <w:r w:rsidR="00270DC3" w:rsidRPr="005A742E">
        <w:t>ology</w:t>
      </w:r>
      <w:r w:rsidR="008F1D6A" w:rsidRPr="005A742E">
        <w:t xml:space="preserve"> is definitely a </w:t>
      </w:r>
      <w:r w:rsidR="00270DC3" w:rsidRPr="005A742E">
        <w:t xml:space="preserve">substantial </w:t>
      </w:r>
      <w:r w:rsidR="00D72927" w:rsidRPr="005A742E">
        <w:t xml:space="preserve">advantage to be considered </w:t>
      </w:r>
      <w:r w:rsidR="00775EF1" w:rsidRPr="005A742E">
        <w:t xml:space="preserve">by </w:t>
      </w:r>
      <w:r w:rsidR="00D72927" w:rsidRPr="005A742E">
        <w:t>an institutional investor</w:t>
      </w:r>
      <w:r w:rsidR="00775EF1" w:rsidRPr="005A742E">
        <w:t xml:space="preserve"> who</w:t>
      </w:r>
      <w:r w:rsidR="00D72927" w:rsidRPr="005A742E">
        <w:t xml:space="preserve"> is looking to diversify its portfolio</w:t>
      </w:r>
      <w:r w:rsidR="00775EF1" w:rsidRPr="005A742E">
        <w:t>.</w:t>
      </w:r>
    </w:p>
    <w:p w14:paraId="00E6424A" w14:textId="31FEC07B" w:rsidR="00B672DA" w:rsidRPr="005A742E" w:rsidRDefault="00B672DA" w:rsidP="00FD6E4F">
      <w:pPr>
        <w:pStyle w:val="NormalWeb"/>
        <w:spacing w:before="0"/>
        <w:rPr>
          <w:b/>
          <w:u w:val="single"/>
        </w:rPr>
      </w:pPr>
      <w:r w:rsidRPr="005A742E">
        <w:rPr>
          <w:b/>
          <w:u w:val="single"/>
        </w:rPr>
        <w:t>Below can be further demonstrated with the low to negative correlation LS index tends to display with other major asset classes as well as its outpe</w:t>
      </w:r>
      <w:r w:rsidR="008124A7" w:rsidRPr="005A742E">
        <w:rPr>
          <w:b/>
          <w:u w:val="single"/>
        </w:rPr>
        <w:t>rformance over the past 7 years</w:t>
      </w:r>
    </w:p>
    <w:p w14:paraId="1C89CBEE" w14:textId="77777777" w:rsidR="00B672DA" w:rsidRPr="005A742E" w:rsidRDefault="00B672DA" w:rsidP="00FD6E4F">
      <w:pPr>
        <w:pStyle w:val="NormalWeb"/>
        <w:spacing w:before="0"/>
        <w:rPr>
          <w:b/>
          <w:sz w:val="28"/>
          <w:u w:val="single"/>
        </w:rPr>
      </w:pPr>
      <w:r w:rsidRPr="005A742E">
        <w:rPr>
          <w:b/>
          <w:noProof/>
          <w:sz w:val="28"/>
          <w:u w:val="single"/>
        </w:rPr>
        <w:drawing>
          <wp:inline distT="0" distB="0" distL="0" distR="0" wp14:anchorId="269F8539" wp14:editId="50C6B193">
            <wp:extent cx="3657600" cy="179260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612208" w14:textId="2767667E" w:rsidR="00B672DA" w:rsidRPr="002676EA" w:rsidRDefault="00B62E5B" w:rsidP="00FD6E4F">
      <w:pPr>
        <w:pStyle w:val="NormalWeb"/>
        <w:spacing w:before="0"/>
        <w:rPr>
          <w:sz w:val="16"/>
        </w:rPr>
      </w:pPr>
      <w:r w:rsidRPr="002676EA">
        <w:rPr>
          <w:sz w:val="16"/>
        </w:rPr>
        <w:t>Source: Bloomberg, AAP Life Settlements Index</w:t>
      </w:r>
    </w:p>
    <w:p w14:paraId="42637791" w14:textId="17F76E69" w:rsidR="00B672DA" w:rsidRPr="00407C10" w:rsidRDefault="00B672DA" w:rsidP="00FD6E4F">
      <w:pPr>
        <w:pStyle w:val="NormalWeb"/>
        <w:spacing w:before="0"/>
        <w:rPr>
          <w:sz w:val="16"/>
        </w:rPr>
      </w:pPr>
      <w:r w:rsidRPr="005A742E">
        <w:rPr>
          <w:b/>
          <w:noProof/>
          <w:sz w:val="28"/>
          <w:u w:val="single"/>
        </w:rPr>
        <w:lastRenderedPageBreak/>
        <w:drawing>
          <wp:inline distT="0" distB="0" distL="0" distR="0" wp14:anchorId="71973462" wp14:editId="50C18797">
            <wp:extent cx="5440680" cy="168818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50" cy="169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62E5B">
        <w:rPr>
          <w:b/>
          <w:sz w:val="28"/>
          <w:u w:val="single"/>
        </w:rPr>
        <w:br/>
      </w:r>
      <w:r w:rsidR="00B62E5B" w:rsidRPr="00407C10">
        <w:rPr>
          <w:sz w:val="16"/>
        </w:rPr>
        <w:t>Source: Bloomberg, AAP Life Settlements Index</w:t>
      </w:r>
    </w:p>
    <w:p w14:paraId="6F4B3608" w14:textId="77777777" w:rsidR="00B62E5B" w:rsidRPr="00B62E5B" w:rsidRDefault="00B62E5B" w:rsidP="00FD6E4F">
      <w:pPr>
        <w:pStyle w:val="NormalWeb"/>
        <w:spacing w:before="0"/>
        <w:rPr>
          <w:sz w:val="18"/>
        </w:rPr>
      </w:pPr>
    </w:p>
    <w:p w14:paraId="7CEED20F" w14:textId="152AEF80" w:rsidR="003F0070" w:rsidRPr="005A742E" w:rsidRDefault="00D64594" w:rsidP="00FD6E4F">
      <w:pPr>
        <w:pStyle w:val="Default"/>
        <w:rPr>
          <w:rFonts w:ascii="Times New Roman" w:hAnsi="Times New Roman" w:cs="Times New Roman"/>
        </w:rPr>
      </w:pPr>
      <w:r w:rsidRPr="005A742E">
        <w:rPr>
          <w:rFonts w:ascii="Times New Roman" w:hAnsi="Times New Roman" w:cs="Times New Roman"/>
        </w:rPr>
        <w:t xml:space="preserve">Other benefits include </w:t>
      </w:r>
      <w:r w:rsidR="00837543" w:rsidRPr="005A742E">
        <w:rPr>
          <w:rFonts w:ascii="Times New Roman" w:hAnsi="Times New Roman" w:cs="Times New Roman"/>
        </w:rPr>
        <w:t>stability, caused by high entry barriers, market neutrality and high credit quality, especially where LS serve as a substitute to fixed income alternatives</w:t>
      </w:r>
      <w:r w:rsidR="008124A7" w:rsidRPr="005A742E">
        <w:rPr>
          <w:rFonts w:ascii="Times New Roman" w:hAnsi="Times New Roman" w:cs="Times New Roman"/>
        </w:rPr>
        <w:t>.</w:t>
      </w:r>
    </w:p>
    <w:p w14:paraId="70FD883A" w14:textId="77777777" w:rsidR="001A222A" w:rsidRPr="005A742E" w:rsidRDefault="001A222A" w:rsidP="00FD6E4F">
      <w:pPr>
        <w:pStyle w:val="Default"/>
        <w:rPr>
          <w:rFonts w:ascii="Times New Roman" w:hAnsi="Times New Roman" w:cs="Times New Roman"/>
          <w:sz w:val="28"/>
        </w:rPr>
      </w:pPr>
    </w:p>
    <w:p w14:paraId="2A53B4EF" w14:textId="77777777" w:rsidR="002A5EB2" w:rsidRDefault="009A7BD4" w:rsidP="00B672DA">
      <w:pPr>
        <w:rPr>
          <w:rStyle w:val="Heading1Char"/>
          <w:i/>
          <w:color w:val="auto"/>
          <w:u w:val="single"/>
        </w:rPr>
      </w:pPr>
      <w:r w:rsidRPr="005A742E">
        <w:rPr>
          <w:rFonts w:ascii="Times New Roman" w:hAnsi="Times New Roman" w:cs="Times New Roman"/>
          <w:b/>
          <w:sz w:val="24"/>
          <w:u w:val="single"/>
        </w:rPr>
        <w:t>Sum-up</w:t>
      </w:r>
      <w:r w:rsidRPr="005A742E">
        <w:rPr>
          <w:rFonts w:ascii="Times New Roman" w:hAnsi="Times New Roman" w:cs="Times New Roman"/>
          <w:b/>
          <w:sz w:val="24"/>
          <w:u w:val="single"/>
        </w:rPr>
        <w:br/>
      </w:r>
      <w:r w:rsidR="00C75F48" w:rsidRPr="005A742E">
        <w:rPr>
          <w:rFonts w:ascii="Times New Roman" w:hAnsi="Times New Roman" w:cs="Times New Roman"/>
          <w:sz w:val="24"/>
        </w:rPr>
        <w:br/>
      </w:r>
      <w:r w:rsidR="00AF03E9" w:rsidRPr="005A742E">
        <w:rPr>
          <w:rFonts w:ascii="Times New Roman" w:hAnsi="Times New Roman" w:cs="Times New Roman"/>
          <w:noProof/>
          <w:sz w:val="24"/>
          <w:lang w:eastAsia="en-GB"/>
        </w:rPr>
        <w:drawing>
          <wp:inline distT="0" distB="0" distL="0" distR="0" wp14:anchorId="2B7B8C97" wp14:editId="3DCD4370">
            <wp:extent cx="5385880" cy="1409520"/>
            <wp:effectExtent l="0" t="0" r="571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889" cy="141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F48" w:rsidRPr="005A742E">
        <w:rPr>
          <w:rFonts w:ascii="Times New Roman" w:hAnsi="Times New Roman" w:cs="Times New Roman"/>
          <w:sz w:val="24"/>
        </w:rPr>
        <w:br/>
      </w:r>
      <w:r w:rsidR="00C75F48" w:rsidRPr="005A742E">
        <w:rPr>
          <w:rFonts w:ascii="Times New Roman" w:hAnsi="Times New Roman" w:cs="Times New Roman"/>
          <w:sz w:val="24"/>
        </w:rPr>
        <w:br/>
      </w:r>
      <w:r w:rsidR="00287607" w:rsidRPr="005A742E">
        <w:rPr>
          <w:rFonts w:ascii="Times New Roman" w:hAnsi="Times New Roman" w:cs="Times New Roman"/>
          <w:sz w:val="24"/>
        </w:rPr>
        <w:br/>
      </w:r>
      <w:bookmarkStart w:id="12" w:name="_Toc54885941"/>
      <w:bookmarkStart w:id="13" w:name="_Toc54886035"/>
    </w:p>
    <w:p w14:paraId="0581C5E7" w14:textId="77777777" w:rsidR="002A5EB2" w:rsidRDefault="002A5EB2" w:rsidP="00B672DA">
      <w:pPr>
        <w:rPr>
          <w:rStyle w:val="Heading1Char"/>
          <w:i/>
          <w:color w:val="auto"/>
          <w:u w:val="single"/>
        </w:rPr>
      </w:pPr>
    </w:p>
    <w:p w14:paraId="1278012E" w14:textId="6850F988" w:rsidR="007235DB" w:rsidRPr="00A423BA" w:rsidRDefault="007235DB" w:rsidP="00B672DA">
      <w:pPr>
        <w:rPr>
          <w:rFonts w:ascii="Times New Roman" w:hAnsi="Times New Roman" w:cs="Times New Roman"/>
          <w:i/>
          <w:sz w:val="24"/>
          <w:u w:val="single"/>
        </w:rPr>
      </w:pPr>
      <w:r w:rsidRPr="00A423BA">
        <w:rPr>
          <w:rStyle w:val="Heading1Char"/>
          <w:i/>
          <w:color w:val="auto"/>
          <w:u w:val="single"/>
        </w:rPr>
        <w:t>2) Conclusions</w:t>
      </w:r>
      <w:bookmarkEnd w:id="12"/>
      <w:bookmarkEnd w:id="13"/>
      <w:r w:rsidRPr="00A423BA">
        <w:rPr>
          <w:rFonts w:ascii="Times New Roman" w:hAnsi="Times New Roman" w:cs="Times New Roman"/>
          <w:i/>
          <w:sz w:val="24"/>
          <w:u w:val="single"/>
        </w:rPr>
        <w:t xml:space="preserve"> </w:t>
      </w:r>
    </w:p>
    <w:p w14:paraId="495FFFCC" w14:textId="173D0CA4" w:rsidR="00B672DA" w:rsidRPr="005A742E" w:rsidRDefault="00154B7C" w:rsidP="00B672DA">
      <w:pPr>
        <w:rPr>
          <w:rFonts w:ascii="Times New Roman" w:hAnsi="Times New Roman" w:cs="Times New Roman"/>
          <w:sz w:val="24"/>
        </w:rPr>
      </w:pPr>
      <w:r w:rsidRPr="005A742E">
        <w:rPr>
          <w:rFonts w:ascii="Times New Roman" w:hAnsi="Times New Roman" w:cs="Times New Roman"/>
          <w:sz w:val="24"/>
        </w:rPr>
        <w:br/>
      </w:r>
      <w:r w:rsidR="00FF15A1" w:rsidRPr="005A742E">
        <w:rPr>
          <w:rFonts w:ascii="Times New Roman" w:hAnsi="Times New Roman" w:cs="Times New Roman"/>
          <w:sz w:val="24"/>
        </w:rPr>
        <w:t xml:space="preserve">The </w:t>
      </w:r>
      <w:r w:rsidR="00270DC3" w:rsidRPr="005A742E">
        <w:rPr>
          <w:rFonts w:ascii="Times New Roman" w:hAnsi="Times New Roman" w:cs="Times New Roman"/>
          <w:sz w:val="24"/>
        </w:rPr>
        <w:t xml:space="preserve">disruptive </w:t>
      </w:r>
      <w:r w:rsidR="00FF15A1" w:rsidRPr="005A742E">
        <w:rPr>
          <w:rFonts w:ascii="Times New Roman" w:hAnsi="Times New Roman" w:cs="Times New Roman"/>
          <w:sz w:val="24"/>
        </w:rPr>
        <w:t xml:space="preserve">effects of Covid-19 posed serious questions regarding </w:t>
      </w:r>
      <w:r w:rsidR="00270DC3" w:rsidRPr="005A742E">
        <w:rPr>
          <w:rFonts w:ascii="Times New Roman" w:hAnsi="Times New Roman" w:cs="Times New Roman"/>
          <w:sz w:val="24"/>
        </w:rPr>
        <w:t xml:space="preserve">the validity of the </w:t>
      </w:r>
      <w:r w:rsidR="00C32F57" w:rsidRPr="005A742E">
        <w:rPr>
          <w:rFonts w:ascii="Times New Roman" w:hAnsi="Times New Roman" w:cs="Times New Roman"/>
          <w:sz w:val="24"/>
        </w:rPr>
        <w:t>traditional 60/40 allocation</w:t>
      </w:r>
      <w:r w:rsidR="00270DC3" w:rsidRPr="005A742E">
        <w:rPr>
          <w:rFonts w:ascii="Times New Roman" w:hAnsi="Times New Roman" w:cs="Times New Roman"/>
          <w:sz w:val="24"/>
        </w:rPr>
        <w:t xml:space="preserve"> in being able to hedge your portfolio</w:t>
      </w:r>
      <w:r w:rsidR="00C32F57" w:rsidRPr="005A742E">
        <w:rPr>
          <w:rFonts w:ascii="Times New Roman" w:hAnsi="Times New Roman" w:cs="Times New Roman"/>
          <w:sz w:val="24"/>
        </w:rPr>
        <w:br/>
        <w:t xml:space="preserve">Most of investors won’t receive the same </w:t>
      </w:r>
      <w:r w:rsidR="00270DC3" w:rsidRPr="005A742E">
        <w:rPr>
          <w:rFonts w:ascii="Times New Roman" w:hAnsi="Times New Roman" w:cs="Times New Roman"/>
          <w:sz w:val="24"/>
        </w:rPr>
        <w:t xml:space="preserve">expected </w:t>
      </w:r>
      <w:r w:rsidR="00C32F57" w:rsidRPr="005A742E">
        <w:rPr>
          <w:rFonts w:ascii="Times New Roman" w:hAnsi="Times New Roman" w:cs="Times New Roman"/>
          <w:sz w:val="24"/>
        </w:rPr>
        <w:t xml:space="preserve">return </w:t>
      </w:r>
      <w:r w:rsidR="00270DC3" w:rsidRPr="005A742E">
        <w:rPr>
          <w:rFonts w:ascii="Times New Roman" w:hAnsi="Times New Roman" w:cs="Times New Roman"/>
          <w:sz w:val="24"/>
        </w:rPr>
        <w:t>as the one we have experienced over the course</w:t>
      </w:r>
      <w:r w:rsidR="0007175A" w:rsidRPr="005A742E">
        <w:rPr>
          <w:rFonts w:ascii="Times New Roman" w:hAnsi="Times New Roman" w:cs="Times New Roman"/>
          <w:sz w:val="24"/>
        </w:rPr>
        <w:t xml:space="preserve"> </w:t>
      </w:r>
      <w:r w:rsidR="00270DC3" w:rsidRPr="005A742E">
        <w:rPr>
          <w:rFonts w:ascii="Times New Roman" w:hAnsi="Times New Roman" w:cs="Times New Roman"/>
          <w:sz w:val="24"/>
        </w:rPr>
        <w:t xml:space="preserve">of </w:t>
      </w:r>
      <w:r w:rsidR="0007175A" w:rsidRPr="005A742E">
        <w:rPr>
          <w:rFonts w:ascii="Times New Roman" w:hAnsi="Times New Roman" w:cs="Times New Roman"/>
          <w:sz w:val="24"/>
        </w:rPr>
        <w:t xml:space="preserve">the last 20 years, </w:t>
      </w:r>
      <w:r w:rsidR="00270DC3" w:rsidRPr="005A742E">
        <w:rPr>
          <w:rFonts w:ascii="Times New Roman" w:hAnsi="Times New Roman" w:cs="Times New Roman"/>
          <w:sz w:val="24"/>
        </w:rPr>
        <w:t>which is why today is the perfect time</w:t>
      </w:r>
      <w:r w:rsidR="00C32F57" w:rsidRPr="005A742E">
        <w:rPr>
          <w:rFonts w:ascii="Times New Roman" w:hAnsi="Times New Roman" w:cs="Times New Roman"/>
          <w:sz w:val="24"/>
        </w:rPr>
        <w:t xml:space="preserve"> to </w:t>
      </w:r>
      <w:r w:rsidR="0007175A" w:rsidRPr="005A742E">
        <w:rPr>
          <w:rFonts w:ascii="Times New Roman" w:hAnsi="Times New Roman" w:cs="Times New Roman"/>
          <w:sz w:val="24"/>
        </w:rPr>
        <w:t>re-</w:t>
      </w:r>
      <w:r w:rsidR="00270DC3" w:rsidRPr="005A742E">
        <w:rPr>
          <w:rFonts w:ascii="Times New Roman" w:hAnsi="Times New Roman" w:cs="Times New Roman"/>
          <w:sz w:val="24"/>
        </w:rPr>
        <w:t xml:space="preserve">consider the importance of alternatives in your strategy. </w:t>
      </w:r>
      <w:r w:rsidR="00DA1C31">
        <w:rPr>
          <w:rFonts w:ascii="Times New Roman" w:hAnsi="Times New Roman" w:cs="Times New Roman"/>
          <w:sz w:val="24"/>
        </w:rPr>
        <w:t>Their</w:t>
      </w:r>
      <w:r w:rsidR="00270DC3" w:rsidRPr="005A742E">
        <w:rPr>
          <w:rFonts w:ascii="Times New Roman" w:hAnsi="Times New Roman" w:cs="Times New Roman"/>
          <w:sz w:val="24"/>
        </w:rPr>
        <w:t xml:space="preserve"> share is expected to increase up to</w:t>
      </w:r>
      <w:r w:rsidR="00AB1760" w:rsidRPr="005A742E">
        <w:rPr>
          <w:rFonts w:ascii="Times New Roman" w:hAnsi="Times New Roman" w:cs="Times New Roman"/>
          <w:sz w:val="24"/>
        </w:rPr>
        <w:t xml:space="preserve"> </w:t>
      </w:r>
      <w:r w:rsidR="00C32F57" w:rsidRPr="005A742E">
        <w:rPr>
          <w:rFonts w:ascii="Times New Roman" w:hAnsi="Times New Roman" w:cs="Times New Roman"/>
          <w:sz w:val="24"/>
        </w:rPr>
        <w:t xml:space="preserve">25% of the </w:t>
      </w:r>
      <w:r w:rsidR="006C228F" w:rsidRPr="005A742E">
        <w:rPr>
          <w:rFonts w:ascii="Times New Roman" w:hAnsi="Times New Roman" w:cs="Times New Roman"/>
          <w:sz w:val="24"/>
        </w:rPr>
        <w:t>average institutional</w:t>
      </w:r>
      <w:r w:rsidR="00C32F57" w:rsidRPr="005A742E">
        <w:rPr>
          <w:rFonts w:ascii="Times New Roman" w:hAnsi="Times New Roman" w:cs="Times New Roman"/>
          <w:sz w:val="24"/>
        </w:rPr>
        <w:t xml:space="preserve"> portfolio, representing a huge increase since 2008 financial crisis.</w:t>
      </w:r>
      <w:r w:rsidR="00C32F57" w:rsidRPr="005A742E">
        <w:rPr>
          <w:rFonts w:ascii="Times New Roman" w:hAnsi="Times New Roman" w:cs="Times New Roman"/>
          <w:sz w:val="24"/>
        </w:rPr>
        <w:br/>
      </w:r>
      <w:r w:rsidR="00514283" w:rsidRPr="005A742E">
        <w:rPr>
          <w:rFonts w:ascii="Times New Roman" w:hAnsi="Times New Roman" w:cs="Times New Roman"/>
          <w:sz w:val="24"/>
        </w:rPr>
        <w:lastRenderedPageBreak/>
        <w:t xml:space="preserve">Covid-19 black swan scenario showed that most of </w:t>
      </w:r>
      <w:r w:rsidR="006C228F" w:rsidRPr="005A742E">
        <w:rPr>
          <w:rFonts w:ascii="Times New Roman" w:hAnsi="Times New Roman" w:cs="Times New Roman"/>
          <w:sz w:val="24"/>
        </w:rPr>
        <w:t>‘traditional’</w:t>
      </w:r>
      <w:r w:rsidR="00514283" w:rsidRPr="005A742E">
        <w:rPr>
          <w:rFonts w:ascii="Times New Roman" w:hAnsi="Times New Roman" w:cs="Times New Roman"/>
          <w:sz w:val="24"/>
        </w:rPr>
        <w:t xml:space="preserve"> alternative investments</w:t>
      </w:r>
      <w:r w:rsidR="006C228F" w:rsidRPr="005A742E">
        <w:rPr>
          <w:rFonts w:ascii="Times New Roman" w:hAnsi="Times New Roman" w:cs="Times New Roman"/>
          <w:sz w:val="24"/>
        </w:rPr>
        <w:t>, such as real estate, private equity and hedge funds,</w:t>
      </w:r>
      <w:r w:rsidR="00514283" w:rsidRPr="005A742E">
        <w:rPr>
          <w:rFonts w:ascii="Times New Roman" w:hAnsi="Times New Roman" w:cs="Times New Roman"/>
          <w:sz w:val="24"/>
        </w:rPr>
        <w:t xml:space="preserve"> have been </w:t>
      </w:r>
      <w:r w:rsidR="005A76F8" w:rsidRPr="005A742E">
        <w:rPr>
          <w:rFonts w:ascii="Times New Roman" w:hAnsi="Times New Roman" w:cs="Times New Roman"/>
          <w:sz w:val="24"/>
        </w:rPr>
        <w:t xml:space="preserve">strongly </w:t>
      </w:r>
      <w:r w:rsidR="00514283" w:rsidRPr="005A742E">
        <w:rPr>
          <w:rFonts w:ascii="Times New Roman" w:hAnsi="Times New Roman" w:cs="Times New Roman"/>
          <w:sz w:val="24"/>
        </w:rPr>
        <w:t>i</w:t>
      </w:r>
      <w:r w:rsidR="005A76F8" w:rsidRPr="005A742E">
        <w:rPr>
          <w:rFonts w:ascii="Times New Roman" w:hAnsi="Times New Roman" w:cs="Times New Roman"/>
          <w:sz w:val="24"/>
        </w:rPr>
        <w:t xml:space="preserve">mpacted by this adverse scenario, emphasizing </w:t>
      </w:r>
      <w:r w:rsidR="00270DC3" w:rsidRPr="005A742E">
        <w:rPr>
          <w:rFonts w:ascii="Times New Roman" w:hAnsi="Times New Roman" w:cs="Times New Roman"/>
          <w:sz w:val="24"/>
        </w:rPr>
        <w:t>lack of diversification benefit</w:t>
      </w:r>
      <w:r w:rsidR="005A76F8" w:rsidRPr="005A742E">
        <w:rPr>
          <w:rFonts w:ascii="Times New Roman" w:hAnsi="Times New Roman" w:cs="Times New Roman"/>
          <w:sz w:val="24"/>
        </w:rPr>
        <w:t xml:space="preserve"> </w:t>
      </w:r>
      <w:r w:rsidR="00270DC3" w:rsidRPr="005A742E">
        <w:rPr>
          <w:rFonts w:ascii="Times New Roman" w:hAnsi="Times New Roman" w:cs="Times New Roman"/>
          <w:sz w:val="24"/>
        </w:rPr>
        <w:t xml:space="preserve">they are expected to provide. </w:t>
      </w:r>
      <w:r w:rsidR="005A76F8" w:rsidRPr="005A742E">
        <w:rPr>
          <w:rFonts w:ascii="Times New Roman" w:hAnsi="Times New Roman" w:cs="Times New Roman"/>
          <w:sz w:val="24"/>
        </w:rPr>
        <w:t>New alternative asset cla</w:t>
      </w:r>
      <w:r w:rsidR="000E29D1" w:rsidRPr="005A742E">
        <w:rPr>
          <w:rFonts w:ascii="Times New Roman" w:hAnsi="Times New Roman" w:cs="Times New Roman"/>
          <w:sz w:val="24"/>
        </w:rPr>
        <w:t xml:space="preserve">sses </w:t>
      </w:r>
      <w:r w:rsidR="00270DC3" w:rsidRPr="005A742E">
        <w:rPr>
          <w:rFonts w:ascii="Times New Roman" w:hAnsi="Times New Roman" w:cs="Times New Roman"/>
          <w:sz w:val="24"/>
        </w:rPr>
        <w:t xml:space="preserve">have emerged </w:t>
      </w:r>
      <w:r w:rsidR="000E29D1" w:rsidRPr="005A742E">
        <w:rPr>
          <w:rFonts w:ascii="Times New Roman" w:hAnsi="Times New Roman" w:cs="Times New Roman"/>
          <w:sz w:val="24"/>
        </w:rPr>
        <w:t>in the last</w:t>
      </w:r>
      <w:r w:rsidR="005A76F8" w:rsidRPr="005A742E">
        <w:rPr>
          <w:rFonts w:ascii="Times New Roman" w:hAnsi="Times New Roman" w:cs="Times New Roman"/>
          <w:sz w:val="24"/>
        </w:rPr>
        <w:t xml:space="preserve"> year</w:t>
      </w:r>
      <w:r w:rsidR="000E29D1" w:rsidRPr="005A742E">
        <w:rPr>
          <w:rFonts w:ascii="Times New Roman" w:hAnsi="Times New Roman" w:cs="Times New Roman"/>
          <w:sz w:val="24"/>
        </w:rPr>
        <w:t xml:space="preserve">s </w:t>
      </w:r>
      <w:r w:rsidR="00270DC3" w:rsidRPr="005A742E">
        <w:rPr>
          <w:rFonts w:ascii="Times New Roman" w:hAnsi="Times New Roman" w:cs="Times New Roman"/>
          <w:sz w:val="24"/>
        </w:rPr>
        <w:t>including</w:t>
      </w:r>
      <w:r w:rsidR="005A76F8" w:rsidRPr="005A742E">
        <w:rPr>
          <w:rFonts w:ascii="Times New Roman" w:hAnsi="Times New Roman" w:cs="Times New Roman"/>
          <w:sz w:val="24"/>
        </w:rPr>
        <w:t xml:space="preserve"> l</w:t>
      </w:r>
      <w:r w:rsidR="007C3918" w:rsidRPr="005A742E">
        <w:rPr>
          <w:rFonts w:ascii="Times New Roman" w:hAnsi="Times New Roman" w:cs="Times New Roman"/>
          <w:sz w:val="24"/>
        </w:rPr>
        <w:t>itigation finance and insurance-</w:t>
      </w:r>
      <w:r w:rsidR="005A76F8" w:rsidRPr="005A742E">
        <w:rPr>
          <w:rFonts w:ascii="Times New Roman" w:hAnsi="Times New Roman" w:cs="Times New Roman"/>
          <w:sz w:val="24"/>
        </w:rPr>
        <w:t>linked securities.</w:t>
      </w:r>
      <w:r w:rsidR="005A76F8" w:rsidRPr="005A742E">
        <w:rPr>
          <w:rFonts w:ascii="Times New Roman" w:hAnsi="Times New Roman" w:cs="Times New Roman"/>
          <w:sz w:val="24"/>
        </w:rPr>
        <w:br/>
      </w:r>
      <w:r w:rsidR="00270DC3" w:rsidRPr="005A742E">
        <w:rPr>
          <w:rFonts w:ascii="Times New Roman" w:hAnsi="Times New Roman" w:cs="Times New Roman"/>
          <w:sz w:val="24"/>
        </w:rPr>
        <w:t>All tend to demonstrate</w:t>
      </w:r>
      <w:r w:rsidR="00F03C24" w:rsidRPr="005A742E">
        <w:rPr>
          <w:rFonts w:ascii="Times New Roman" w:hAnsi="Times New Roman" w:cs="Times New Roman"/>
          <w:sz w:val="24"/>
        </w:rPr>
        <w:t xml:space="preserve"> </w:t>
      </w:r>
      <w:r w:rsidR="00270DC3" w:rsidRPr="005A742E">
        <w:rPr>
          <w:rFonts w:ascii="Times New Roman" w:hAnsi="Times New Roman" w:cs="Times New Roman"/>
          <w:sz w:val="24"/>
        </w:rPr>
        <w:t>robust returns</w:t>
      </w:r>
      <w:r w:rsidR="00F03C24" w:rsidRPr="005A742E">
        <w:rPr>
          <w:rFonts w:ascii="Times New Roman" w:hAnsi="Times New Roman" w:cs="Times New Roman"/>
          <w:sz w:val="24"/>
        </w:rPr>
        <w:t xml:space="preserve">, </w:t>
      </w:r>
      <w:r w:rsidR="00270DC3" w:rsidRPr="005A742E">
        <w:rPr>
          <w:rFonts w:ascii="Times New Roman" w:hAnsi="Times New Roman" w:cs="Times New Roman"/>
          <w:sz w:val="24"/>
        </w:rPr>
        <w:t xml:space="preserve">solid </w:t>
      </w:r>
      <w:r w:rsidR="00F03C24" w:rsidRPr="005A742E">
        <w:rPr>
          <w:rFonts w:ascii="Times New Roman" w:hAnsi="Times New Roman" w:cs="Times New Roman"/>
          <w:sz w:val="24"/>
        </w:rPr>
        <w:t xml:space="preserve">opportunities in the markets and </w:t>
      </w:r>
      <w:r w:rsidR="009F3579" w:rsidRPr="005A742E">
        <w:rPr>
          <w:rFonts w:ascii="Times New Roman" w:hAnsi="Times New Roman" w:cs="Times New Roman"/>
          <w:sz w:val="24"/>
        </w:rPr>
        <w:t>truly de-correlated</w:t>
      </w:r>
      <w:r w:rsidR="00F03C24" w:rsidRPr="005A742E">
        <w:rPr>
          <w:rFonts w:ascii="Times New Roman" w:hAnsi="Times New Roman" w:cs="Times New Roman"/>
          <w:sz w:val="24"/>
        </w:rPr>
        <w:t xml:space="preserve"> nature</w:t>
      </w:r>
      <w:r w:rsidR="009F3579" w:rsidRPr="005A742E">
        <w:rPr>
          <w:rFonts w:ascii="Times New Roman" w:hAnsi="Times New Roman" w:cs="Times New Roman"/>
          <w:sz w:val="24"/>
        </w:rPr>
        <w:t>.</w:t>
      </w:r>
      <w:r w:rsidR="00F03C24" w:rsidRPr="005A742E">
        <w:rPr>
          <w:rFonts w:ascii="Times New Roman" w:hAnsi="Times New Roman" w:cs="Times New Roman"/>
          <w:sz w:val="24"/>
        </w:rPr>
        <w:br/>
      </w:r>
      <w:r w:rsidR="009F3579" w:rsidRPr="005A742E">
        <w:rPr>
          <w:rFonts w:ascii="Times New Roman" w:hAnsi="Times New Roman" w:cs="Times New Roman"/>
          <w:sz w:val="24"/>
        </w:rPr>
        <w:t>The main</w:t>
      </w:r>
      <w:r w:rsidR="00F03C24" w:rsidRPr="005A742E">
        <w:rPr>
          <w:rFonts w:ascii="Times New Roman" w:hAnsi="Times New Roman" w:cs="Times New Roman"/>
          <w:sz w:val="24"/>
        </w:rPr>
        <w:t xml:space="preserve"> difference is </w:t>
      </w:r>
      <w:r w:rsidR="009F3579" w:rsidRPr="005A742E">
        <w:rPr>
          <w:rFonts w:ascii="Times New Roman" w:hAnsi="Times New Roman" w:cs="Times New Roman"/>
          <w:sz w:val="24"/>
        </w:rPr>
        <w:t>therefore in the</w:t>
      </w:r>
      <w:r w:rsidR="00C93BE8" w:rsidRPr="005A742E">
        <w:rPr>
          <w:rFonts w:ascii="Times New Roman" w:hAnsi="Times New Roman" w:cs="Times New Roman"/>
          <w:sz w:val="24"/>
        </w:rPr>
        <w:t xml:space="preserve"> </w:t>
      </w:r>
      <w:r w:rsidR="00F03C24" w:rsidRPr="005A742E">
        <w:rPr>
          <w:rFonts w:ascii="Times New Roman" w:hAnsi="Times New Roman" w:cs="Times New Roman"/>
          <w:sz w:val="24"/>
        </w:rPr>
        <w:t xml:space="preserve">valuation: Cat bonds </w:t>
      </w:r>
      <w:r w:rsidR="00986484" w:rsidRPr="005A742E">
        <w:rPr>
          <w:rFonts w:ascii="Times New Roman" w:hAnsi="Times New Roman" w:cs="Times New Roman"/>
          <w:sz w:val="24"/>
        </w:rPr>
        <w:t>valuations (often not easy to understand for most subjects of financial sector)</w:t>
      </w:r>
      <w:r w:rsidR="009F3579" w:rsidRPr="005A742E">
        <w:rPr>
          <w:rFonts w:ascii="Times New Roman" w:hAnsi="Times New Roman" w:cs="Times New Roman"/>
          <w:sz w:val="24"/>
        </w:rPr>
        <w:t>have</w:t>
      </w:r>
      <w:r w:rsidR="00986484" w:rsidRPr="005A742E">
        <w:rPr>
          <w:rFonts w:ascii="Times New Roman" w:hAnsi="Times New Roman" w:cs="Times New Roman"/>
          <w:sz w:val="24"/>
        </w:rPr>
        <w:t xml:space="preserve"> </w:t>
      </w:r>
      <w:r w:rsidR="00F03C24" w:rsidRPr="005A742E">
        <w:rPr>
          <w:rFonts w:ascii="Times New Roman" w:hAnsi="Times New Roman" w:cs="Times New Roman"/>
          <w:sz w:val="24"/>
        </w:rPr>
        <w:t xml:space="preserve">badly impacted </w:t>
      </w:r>
      <w:r w:rsidR="00C93BE8" w:rsidRPr="005A742E">
        <w:rPr>
          <w:rFonts w:ascii="Times New Roman" w:hAnsi="Times New Roman" w:cs="Times New Roman"/>
          <w:sz w:val="24"/>
        </w:rPr>
        <w:t>investors during</w:t>
      </w:r>
      <w:r w:rsidR="00986484" w:rsidRPr="005A742E">
        <w:rPr>
          <w:rFonts w:ascii="Times New Roman" w:hAnsi="Times New Roman" w:cs="Times New Roman"/>
          <w:sz w:val="24"/>
        </w:rPr>
        <w:t xml:space="preserve"> 2017 and 2018</w:t>
      </w:r>
      <w:r w:rsidR="00F03C24" w:rsidRPr="005A742E">
        <w:rPr>
          <w:rFonts w:ascii="Times New Roman" w:hAnsi="Times New Roman" w:cs="Times New Roman"/>
          <w:sz w:val="24"/>
        </w:rPr>
        <w:t xml:space="preserve">, while </w:t>
      </w:r>
      <w:r w:rsidR="00C93BE8" w:rsidRPr="005A742E">
        <w:rPr>
          <w:rFonts w:ascii="Times New Roman" w:hAnsi="Times New Roman" w:cs="Times New Roman"/>
          <w:sz w:val="24"/>
        </w:rPr>
        <w:t xml:space="preserve">longevity risk </w:t>
      </w:r>
      <w:r w:rsidR="009F3579" w:rsidRPr="005A742E">
        <w:rPr>
          <w:rFonts w:ascii="Times New Roman" w:hAnsi="Times New Roman" w:cs="Times New Roman"/>
          <w:sz w:val="24"/>
        </w:rPr>
        <w:t>offers a much</w:t>
      </w:r>
      <w:r w:rsidR="00C93BE8" w:rsidRPr="005A742E">
        <w:rPr>
          <w:rFonts w:ascii="Times New Roman" w:hAnsi="Times New Roman" w:cs="Times New Roman"/>
          <w:sz w:val="24"/>
        </w:rPr>
        <w:t xml:space="preserve"> more sophisticated and robu</w:t>
      </w:r>
      <w:r w:rsidR="003C7E95" w:rsidRPr="005A742E">
        <w:rPr>
          <w:rFonts w:ascii="Times New Roman" w:hAnsi="Times New Roman" w:cs="Times New Roman"/>
          <w:sz w:val="24"/>
        </w:rPr>
        <w:t xml:space="preserve">st approach, developed by actuarial analysis and well used </w:t>
      </w:r>
      <w:r w:rsidR="00C93BE8" w:rsidRPr="005A742E">
        <w:rPr>
          <w:rFonts w:ascii="Times New Roman" w:hAnsi="Times New Roman" w:cs="Times New Roman"/>
          <w:sz w:val="24"/>
        </w:rPr>
        <w:t xml:space="preserve">through years by </w:t>
      </w:r>
      <w:r w:rsidR="009F3579" w:rsidRPr="005A742E">
        <w:rPr>
          <w:rFonts w:ascii="Times New Roman" w:hAnsi="Times New Roman" w:cs="Times New Roman"/>
          <w:sz w:val="24"/>
        </w:rPr>
        <w:t xml:space="preserve">insurance carriers </w:t>
      </w:r>
      <w:r w:rsidR="00C93BE8" w:rsidRPr="005A742E">
        <w:rPr>
          <w:rFonts w:ascii="Times New Roman" w:hAnsi="Times New Roman" w:cs="Times New Roman"/>
          <w:sz w:val="24"/>
        </w:rPr>
        <w:t>and pension funds.</w:t>
      </w:r>
      <w:r w:rsidR="00C93BE8" w:rsidRPr="005A742E">
        <w:rPr>
          <w:rFonts w:ascii="Times New Roman" w:hAnsi="Times New Roman" w:cs="Times New Roman"/>
          <w:sz w:val="24"/>
        </w:rPr>
        <w:br/>
      </w:r>
      <w:r w:rsidR="009F3579" w:rsidRPr="005A742E">
        <w:rPr>
          <w:rFonts w:ascii="Times New Roman" w:hAnsi="Times New Roman" w:cs="Times New Roman"/>
          <w:sz w:val="24"/>
        </w:rPr>
        <w:t>While</w:t>
      </w:r>
      <w:r w:rsidR="00314D1D" w:rsidRPr="005A742E">
        <w:rPr>
          <w:rFonts w:ascii="Times New Roman" w:hAnsi="Times New Roman" w:cs="Times New Roman"/>
          <w:sz w:val="24"/>
        </w:rPr>
        <w:t xml:space="preserve"> Life Settlements has </w:t>
      </w:r>
      <w:r w:rsidR="009F3579" w:rsidRPr="005A742E">
        <w:rPr>
          <w:rFonts w:ascii="Times New Roman" w:hAnsi="Times New Roman" w:cs="Times New Roman"/>
          <w:sz w:val="24"/>
        </w:rPr>
        <w:t xml:space="preserve">essentially </w:t>
      </w:r>
      <w:r w:rsidR="00314D1D" w:rsidRPr="005A742E">
        <w:rPr>
          <w:rFonts w:ascii="Times New Roman" w:hAnsi="Times New Roman" w:cs="Times New Roman"/>
          <w:sz w:val="24"/>
        </w:rPr>
        <w:t>been as a "nice to have” asset f</w:t>
      </w:r>
      <w:r w:rsidR="009F3579" w:rsidRPr="005A742E">
        <w:rPr>
          <w:rFonts w:ascii="Times New Roman" w:hAnsi="Times New Roman" w:cs="Times New Roman"/>
          <w:sz w:val="24"/>
        </w:rPr>
        <w:t>rom</w:t>
      </w:r>
      <w:r w:rsidR="006060E5" w:rsidRPr="005A742E">
        <w:rPr>
          <w:rFonts w:ascii="Times New Roman" w:hAnsi="Times New Roman" w:cs="Times New Roman"/>
          <w:sz w:val="24"/>
        </w:rPr>
        <w:t xml:space="preserve"> the</w:t>
      </w:r>
      <w:r w:rsidR="00314D1D" w:rsidRPr="005A742E">
        <w:rPr>
          <w:rFonts w:ascii="Times New Roman" w:hAnsi="Times New Roman" w:cs="Times New Roman"/>
          <w:sz w:val="24"/>
        </w:rPr>
        <w:t xml:space="preserve"> returns perspective, majority of </w:t>
      </w:r>
      <w:r w:rsidR="006060E5" w:rsidRPr="005A742E">
        <w:rPr>
          <w:rFonts w:ascii="Times New Roman" w:hAnsi="Times New Roman" w:cs="Times New Roman"/>
          <w:sz w:val="24"/>
        </w:rPr>
        <w:t>investors</w:t>
      </w:r>
      <w:r w:rsidR="00314D1D" w:rsidRPr="005A742E">
        <w:rPr>
          <w:rFonts w:ascii="Times New Roman" w:hAnsi="Times New Roman" w:cs="Times New Roman"/>
          <w:sz w:val="24"/>
        </w:rPr>
        <w:t xml:space="preserve"> </w:t>
      </w:r>
      <w:r w:rsidR="009F3579" w:rsidRPr="005A742E">
        <w:rPr>
          <w:rFonts w:ascii="Times New Roman" w:hAnsi="Times New Roman" w:cs="Times New Roman"/>
          <w:sz w:val="24"/>
        </w:rPr>
        <w:t xml:space="preserve">nowadays </w:t>
      </w:r>
      <w:r w:rsidR="00314D1D" w:rsidRPr="005A742E">
        <w:rPr>
          <w:rFonts w:ascii="Times New Roman" w:hAnsi="Times New Roman" w:cs="Times New Roman"/>
          <w:sz w:val="24"/>
        </w:rPr>
        <w:t>are looking in space as a “need to have” investment because</w:t>
      </w:r>
      <w:r w:rsidR="009F3579" w:rsidRPr="005A742E">
        <w:rPr>
          <w:rFonts w:ascii="Times New Roman" w:hAnsi="Times New Roman" w:cs="Times New Roman"/>
          <w:sz w:val="24"/>
        </w:rPr>
        <w:t xml:space="preserve"> due to diversification benefit.</w:t>
      </w:r>
      <w:r w:rsidR="00314D1D" w:rsidRPr="005A742E">
        <w:rPr>
          <w:rFonts w:ascii="Times New Roman" w:hAnsi="Times New Roman" w:cs="Times New Roman"/>
          <w:sz w:val="24"/>
        </w:rPr>
        <w:br/>
      </w:r>
      <w:r w:rsidR="00314D1D" w:rsidRPr="005A742E">
        <w:rPr>
          <w:rFonts w:ascii="Times New Roman" w:hAnsi="Times New Roman" w:cs="Times New Roman"/>
          <w:sz w:val="24"/>
        </w:rPr>
        <w:br/>
      </w:r>
      <w:r w:rsidR="00C259B7" w:rsidRPr="005A742E">
        <w:rPr>
          <w:rFonts w:ascii="Times New Roman" w:hAnsi="Times New Roman" w:cs="Times New Roman"/>
          <w:sz w:val="24"/>
        </w:rPr>
        <w:t xml:space="preserve">With </w:t>
      </w:r>
      <w:r w:rsidR="009F3579" w:rsidRPr="005A742E">
        <w:rPr>
          <w:rFonts w:ascii="Times New Roman" w:hAnsi="Times New Roman" w:cs="Times New Roman"/>
          <w:sz w:val="24"/>
        </w:rPr>
        <w:t xml:space="preserve">a continuous YoY increase </w:t>
      </w:r>
      <w:r w:rsidR="00DA1C31" w:rsidRPr="005A742E">
        <w:rPr>
          <w:rFonts w:ascii="Times New Roman" w:hAnsi="Times New Roman" w:cs="Times New Roman"/>
          <w:sz w:val="24"/>
        </w:rPr>
        <w:t>of Life</w:t>
      </w:r>
      <w:r w:rsidR="00314D1D" w:rsidRPr="005A742E">
        <w:rPr>
          <w:rFonts w:ascii="Times New Roman" w:hAnsi="Times New Roman" w:cs="Times New Roman"/>
          <w:sz w:val="24"/>
        </w:rPr>
        <w:t xml:space="preserve"> Settlement mark</w:t>
      </w:r>
      <w:r w:rsidR="00C259B7" w:rsidRPr="005A742E">
        <w:rPr>
          <w:rFonts w:ascii="Times New Roman" w:hAnsi="Times New Roman" w:cs="Times New Roman"/>
          <w:sz w:val="24"/>
        </w:rPr>
        <w:t>et</w:t>
      </w:r>
      <w:r w:rsidR="009F3579" w:rsidRPr="005A742E">
        <w:rPr>
          <w:rFonts w:ascii="Times New Roman" w:hAnsi="Times New Roman" w:cs="Times New Roman"/>
          <w:sz w:val="24"/>
        </w:rPr>
        <w:t xml:space="preserve"> volume, increased interest on behalf of large private equity houses, higher standardization and efficiency </w:t>
      </w:r>
      <w:r w:rsidR="00314D1D" w:rsidRPr="005A742E">
        <w:rPr>
          <w:rFonts w:ascii="Times New Roman" w:hAnsi="Times New Roman" w:cs="Times New Roman"/>
          <w:sz w:val="24"/>
        </w:rPr>
        <w:t xml:space="preserve">it is unlikely that Life Settlements will remain </w:t>
      </w:r>
      <w:r w:rsidR="009F3579" w:rsidRPr="005A742E">
        <w:rPr>
          <w:rFonts w:ascii="Times New Roman" w:hAnsi="Times New Roman" w:cs="Times New Roman"/>
          <w:sz w:val="24"/>
        </w:rPr>
        <w:t>an undiscovered niche for much longer</w:t>
      </w:r>
      <w:r w:rsidR="007C118B" w:rsidRPr="005A742E">
        <w:rPr>
          <w:rFonts w:ascii="Times New Roman" w:hAnsi="Times New Roman" w:cs="Times New Roman"/>
          <w:sz w:val="24"/>
        </w:rPr>
        <w:t xml:space="preserve">, </w:t>
      </w:r>
      <w:r w:rsidR="009F3579" w:rsidRPr="005A742E">
        <w:rPr>
          <w:rFonts w:ascii="Times New Roman" w:hAnsi="Times New Roman" w:cs="Times New Roman"/>
          <w:sz w:val="24"/>
        </w:rPr>
        <w:t xml:space="preserve">which makes an even bigger case for those ultra-specialized small to mid-size managers </w:t>
      </w:r>
      <w:r w:rsidR="00B672DA" w:rsidRPr="005A742E">
        <w:rPr>
          <w:rFonts w:ascii="Times New Roman" w:hAnsi="Times New Roman" w:cs="Times New Roman"/>
          <w:sz w:val="24"/>
        </w:rPr>
        <w:t>who often win</w:t>
      </w:r>
      <w:r w:rsidR="00D64594" w:rsidRPr="005A742E">
        <w:rPr>
          <w:rFonts w:ascii="Times New Roman" w:hAnsi="Times New Roman" w:cs="Times New Roman"/>
          <w:sz w:val="24"/>
        </w:rPr>
        <w:t xml:space="preserve"> when compared to multibillion “one stop shops” investing across multiple asset classes</w:t>
      </w:r>
      <w:r w:rsidR="00DA1C31">
        <w:rPr>
          <w:rFonts w:ascii="Times New Roman" w:hAnsi="Times New Roman" w:cs="Times New Roman"/>
          <w:sz w:val="24"/>
        </w:rPr>
        <w:t>.</w:t>
      </w:r>
      <w:r w:rsidR="00D64594" w:rsidRPr="005A742E">
        <w:rPr>
          <w:rFonts w:ascii="Times New Roman" w:hAnsi="Times New Roman" w:cs="Times New Roman"/>
          <w:sz w:val="24"/>
        </w:rPr>
        <w:t xml:space="preserve"> </w:t>
      </w:r>
      <w:r w:rsidR="00B672DA" w:rsidRPr="005A742E">
        <w:rPr>
          <w:rFonts w:ascii="Times New Roman" w:hAnsi="Times New Roman" w:cs="Times New Roman"/>
          <w:sz w:val="24"/>
        </w:rPr>
        <w:t xml:space="preserve"> </w:t>
      </w:r>
      <w:r w:rsidR="00DA1C31">
        <w:rPr>
          <w:rFonts w:ascii="Times New Roman" w:hAnsi="Times New Roman" w:cs="Times New Roman"/>
          <w:sz w:val="24"/>
        </w:rPr>
        <w:t>Unique o</w:t>
      </w:r>
      <w:r w:rsidR="00823EAD" w:rsidRPr="005A742E">
        <w:rPr>
          <w:rFonts w:ascii="Times New Roman" w:hAnsi="Times New Roman" w:cs="Times New Roman"/>
          <w:sz w:val="24"/>
        </w:rPr>
        <w:t>perational knowledge developed through</w:t>
      </w:r>
      <w:r w:rsidR="00D64594" w:rsidRPr="005A742E">
        <w:rPr>
          <w:rFonts w:ascii="Times New Roman" w:hAnsi="Times New Roman" w:cs="Times New Roman"/>
          <w:sz w:val="24"/>
        </w:rPr>
        <w:t>out</w:t>
      </w:r>
      <w:r w:rsidR="00823EAD" w:rsidRPr="005A742E">
        <w:rPr>
          <w:rFonts w:ascii="Times New Roman" w:hAnsi="Times New Roman" w:cs="Times New Roman"/>
          <w:sz w:val="24"/>
        </w:rPr>
        <w:t xml:space="preserve"> years</w:t>
      </w:r>
      <w:r w:rsidR="00331D48" w:rsidRPr="005A742E">
        <w:rPr>
          <w:rFonts w:ascii="Times New Roman" w:hAnsi="Times New Roman" w:cs="Times New Roman"/>
          <w:sz w:val="24"/>
        </w:rPr>
        <w:t xml:space="preserve">, </w:t>
      </w:r>
      <w:r w:rsidR="00D64594" w:rsidRPr="005A742E">
        <w:rPr>
          <w:rFonts w:ascii="Times New Roman" w:hAnsi="Times New Roman" w:cs="Times New Roman"/>
          <w:sz w:val="24"/>
        </w:rPr>
        <w:t xml:space="preserve">vast </w:t>
      </w:r>
      <w:r w:rsidR="00F83A2C" w:rsidRPr="005A742E">
        <w:rPr>
          <w:rFonts w:ascii="Times New Roman" w:hAnsi="Times New Roman" w:cs="Times New Roman"/>
          <w:sz w:val="24"/>
        </w:rPr>
        <w:t xml:space="preserve">sourcing </w:t>
      </w:r>
      <w:r w:rsidR="005E286D" w:rsidRPr="005A742E">
        <w:rPr>
          <w:rFonts w:ascii="Times New Roman" w:hAnsi="Times New Roman" w:cs="Times New Roman"/>
          <w:sz w:val="24"/>
        </w:rPr>
        <w:t>network</w:t>
      </w:r>
      <w:r w:rsidR="00F83A2C" w:rsidRPr="005A742E">
        <w:rPr>
          <w:rFonts w:ascii="Times New Roman" w:hAnsi="Times New Roman" w:cs="Times New Roman"/>
          <w:sz w:val="24"/>
        </w:rPr>
        <w:t>,</w:t>
      </w:r>
      <w:r w:rsidR="005E286D" w:rsidRPr="005A742E">
        <w:rPr>
          <w:rFonts w:ascii="Times New Roman" w:hAnsi="Times New Roman" w:cs="Times New Roman"/>
          <w:sz w:val="24"/>
        </w:rPr>
        <w:t xml:space="preserve"> </w:t>
      </w:r>
      <w:r w:rsidR="00D64594" w:rsidRPr="005A742E">
        <w:rPr>
          <w:rFonts w:ascii="Times New Roman" w:hAnsi="Times New Roman" w:cs="Times New Roman"/>
          <w:sz w:val="24"/>
        </w:rPr>
        <w:t xml:space="preserve">often lower fee structure and most </w:t>
      </w:r>
      <w:r w:rsidR="00CA16CA" w:rsidRPr="005A742E">
        <w:rPr>
          <w:rFonts w:ascii="Times New Roman" w:hAnsi="Times New Roman" w:cs="Times New Roman"/>
          <w:sz w:val="24"/>
        </w:rPr>
        <w:t>importantly</w:t>
      </w:r>
      <w:r w:rsidR="00D64594" w:rsidRPr="005A742E">
        <w:rPr>
          <w:rFonts w:ascii="Times New Roman" w:hAnsi="Times New Roman" w:cs="Times New Roman"/>
          <w:sz w:val="24"/>
        </w:rPr>
        <w:t xml:space="preserve"> ability to exploit very niche trading opportunities that just don’t have capacity for absorb billions of dry po</w:t>
      </w:r>
      <w:r w:rsidR="00DA1C31">
        <w:rPr>
          <w:rFonts w:ascii="Times New Roman" w:hAnsi="Times New Roman" w:cs="Times New Roman"/>
          <w:sz w:val="24"/>
        </w:rPr>
        <w:t>wder available to larger player</w:t>
      </w:r>
      <w:r w:rsidR="00D64594" w:rsidRPr="005A742E">
        <w:rPr>
          <w:rFonts w:ascii="Times New Roman" w:hAnsi="Times New Roman" w:cs="Times New Roman"/>
          <w:sz w:val="24"/>
        </w:rPr>
        <w:t>s</w:t>
      </w:r>
      <w:r w:rsidR="00DA1C31">
        <w:rPr>
          <w:rFonts w:ascii="Times New Roman" w:hAnsi="Times New Roman" w:cs="Times New Roman"/>
          <w:sz w:val="24"/>
        </w:rPr>
        <w:t xml:space="preserve"> remain key. T</w:t>
      </w:r>
      <w:r w:rsidR="005E286D" w:rsidRPr="005A742E">
        <w:rPr>
          <w:rFonts w:ascii="Times New Roman" w:hAnsi="Times New Roman" w:cs="Times New Roman"/>
          <w:sz w:val="24"/>
        </w:rPr>
        <w:t>h</w:t>
      </w:r>
      <w:r w:rsidR="00D64594" w:rsidRPr="005A742E">
        <w:rPr>
          <w:rFonts w:ascii="Times New Roman" w:hAnsi="Times New Roman" w:cs="Times New Roman"/>
          <w:sz w:val="24"/>
        </w:rPr>
        <w:t>is</w:t>
      </w:r>
      <w:r w:rsidR="005E286D" w:rsidRPr="005A742E">
        <w:rPr>
          <w:rFonts w:ascii="Times New Roman" w:hAnsi="Times New Roman" w:cs="Times New Roman"/>
          <w:sz w:val="24"/>
        </w:rPr>
        <w:t xml:space="preserve"> is what a specialized life settlements</w:t>
      </w:r>
      <w:r w:rsidR="008F0459" w:rsidRPr="005A742E">
        <w:rPr>
          <w:rFonts w:ascii="Times New Roman" w:hAnsi="Times New Roman" w:cs="Times New Roman"/>
          <w:sz w:val="24"/>
        </w:rPr>
        <w:t xml:space="preserve"> structure</w:t>
      </w:r>
      <w:r w:rsidR="005E286D" w:rsidRPr="005A742E">
        <w:rPr>
          <w:rFonts w:ascii="Times New Roman" w:hAnsi="Times New Roman" w:cs="Times New Roman"/>
          <w:sz w:val="24"/>
        </w:rPr>
        <w:t xml:space="preserve"> can</w:t>
      </w:r>
      <w:r w:rsidR="00F83A2C" w:rsidRPr="005A742E">
        <w:rPr>
          <w:rFonts w:ascii="Times New Roman" w:hAnsi="Times New Roman" w:cs="Times New Roman"/>
          <w:sz w:val="24"/>
        </w:rPr>
        <w:t xml:space="preserve"> definitely</w:t>
      </w:r>
      <w:r w:rsidR="005E286D" w:rsidRPr="005A742E">
        <w:rPr>
          <w:rFonts w:ascii="Times New Roman" w:hAnsi="Times New Roman" w:cs="Times New Roman"/>
          <w:sz w:val="24"/>
        </w:rPr>
        <w:t xml:space="preserve"> provide to </w:t>
      </w:r>
      <w:r w:rsidR="00842C8F" w:rsidRPr="005A742E">
        <w:rPr>
          <w:rFonts w:ascii="Times New Roman" w:hAnsi="Times New Roman" w:cs="Times New Roman"/>
          <w:sz w:val="24"/>
        </w:rPr>
        <w:t>many</w:t>
      </w:r>
      <w:r w:rsidR="00343041" w:rsidRPr="005A742E">
        <w:rPr>
          <w:rFonts w:ascii="Times New Roman" w:hAnsi="Times New Roman" w:cs="Times New Roman"/>
          <w:sz w:val="24"/>
        </w:rPr>
        <w:t xml:space="preserve"> of the</w:t>
      </w:r>
      <w:r w:rsidR="00842C8F" w:rsidRPr="005A742E">
        <w:rPr>
          <w:rFonts w:ascii="Times New Roman" w:hAnsi="Times New Roman" w:cs="Times New Roman"/>
          <w:sz w:val="24"/>
        </w:rPr>
        <w:t xml:space="preserve"> </w:t>
      </w:r>
      <w:r w:rsidR="005E286D" w:rsidRPr="005A742E">
        <w:rPr>
          <w:rFonts w:ascii="Times New Roman" w:hAnsi="Times New Roman" w:cs="Times New Roman"/>
          <w:sz w:val="24"/>
        </w:rPr>
        <w:t>institutional investors.</w:t>
      </w:r>
    </w:p>
    <w:p w14:paraId="798C9466" w14:textId="77777777" w:rsidR="001321EB" w:rsidRDefault="00154B7C" w:rsidP="00B37D5F">
      <w:pPr>
        <w:spacing w:after="0"/>
        <w:rPr>
          <w:rStyle w:val="Heading2Char"/>
          <w:i/>
          <w:color w:val="auto"/>
          <w:sz w:val="28"/>
          <w:u w:val="single"/>
        </w:rPr>
      </w:pPr>
      <w:r w:rsidRPr="005A742E">
        <w:rPr>
          <w:rFonts w:ascii="Times New Roman" w:hAnsi="Times New Roman" w:cs="Times New Roman"/>
          <w:sz w:val="24"/>
        </w:rPr>
        <w:br/>
      </w:r>
      <w:bookmarkStart w:id="14" w:name="_Toc54885942"/>
      <w:bookmarkStart w:id="15" w:name="_Toc54886036"/>
    </w:p>
    <w:p w14:paraId="490BAF00" w14:textId="77777777" w:rsidR="001321EB" w:rsidRDefault="001321EB" w:rsidP="00B37D5F">
      <w:pPr>
        <w:spacing w:after="0"/>
        <w:rPr>
          <w:rStyle w:val="Heading2Char"/>
          <w:i/>
          <w:color w:val="auto"/>
          <w:sz w:val="28"/>
          <w:u w:val="single"/>
        </w:rPr>
      </w:pPr>
    </w:p>
    <w:p w14:paraId="604570A9" w14:textId="77777777" w:rsidR="001321EB" w:rsidRDefault="001321EB" w:rsidP="00B37D5F">
      <w:pPr>
        <w:spacing w:after="0"/>
        <w:rPr>
          <w:rStyle w:val="Heading2Char"/>
          <w:i/>
          <w:color w:val="auto"/>
          <w:sz w:val="28"/>
          <w:u w:val="single"/>
        </w:rPr>
      </w:pPr>
    </w:p>
    <w:p w14:paraId="62FFDF2E" w14:textId="77777777" w:rsidR="001321EB" w:rsidRDefault="001321EB" w:rsidP="00B37D5F">
      <w:pPr>
        <w:spacing w:after="0"/>
        <w:rPr>
          <w:rStyle w:val="Heading2Char"/>
          <w:i/>
          <w:color w:val="auto"/>
          <w:sz w:val="28"/>
          <w:u w:val="single"/>
        </w:rPr>
      </w:pPr>
    </w:p>
    <w:p w14:paraId="0D21D51C" w14:textId="77777777" w:rsidR="001321EB" w:rsidRDefault="001321EB" w:rsidP="00B37D5F">
      <w:pPr>
        <w:spacing w:after="0"/>
        <w:rPr>
          <w:rStyle w:val="Heading2Char"/>
          <w:i/>
          <w:color w:val="auto"/>
          <w:sz w:val="28"/>
          <w:u w:val="single"/>
        </w:rPr>
      </w:pPr>
    </w:p>
    <w:p w14:paraId="65F94E23" w14:textId="77777777" w:rsidR="001321EB" w:rsidRDefault="001321EB" w:rsidP="00B37D5F">
      <w:pPr>
        <w:spacing w:after="0"/>
        <w:rPr>
          <w:rStyle w:val="Heading2Char"/>
          <w:i/>
          <w:color w:val="auto"/>
          <w:sz w:val="28"/>
          <w:u w:val="single"/>
        </w:rPr>
      </w:pPr>
    </w:p>
    <w:p w14:paraId="46294A5A" w14:textId="77777777" w:rsidR="001D4BD7" w:rsidRDefault="001D4BD7" w:rsidP="00B37D5F">
      <w:pPr>
        <w:spacing w:after="0"/>
        <w:rPr>
          <w:rStyle w:val="Heading2Char"/>
          <w:i/>
          <w:color w:val="auto"/>
          <w:sz w:val="28"/>
          <w:u w:val="single"/>
        </w:rPr>
      </w:pPr>
    </w:p>
    <w:p w14:paraId="11673234" w14:textId="2837930C" w:rsidR="00B37D5F" w:rsidRPr="005A742E" w:rsidRDefault="00154B7C" w:rsidP="00B37D5F">
      <w:pPr>
        <w:spacing w:after="0"/>
        <w:rPr>
          <w:rFonts w:ascii="Times New Roman" w:hAnsi="Times New Roman" w:cs="Times New Roman"/>
          <w:b/>
          <w:u w:val="single"/>
        </w:rPr>
      </w:pPr>
      <w:r w:rsidRPr="00A423BA">
        <w:rPr>
          <w:rStyle w:val="Heading2Char"/>
          <w:i/>
          <w:color w:val="auto"/>
          <w:sz w:val="28"/>
          <w:u w:val="single"/>
        </w:rPr>
        <w:lastRenderedPageBreak/>
        <w:t>Appendix</w:t>
      </w:r>
      <w:r w:rsidR="00C40C41" w:rsidRPr="00A423BA">
        <w:rPr>
          <w:rStyle w:val="Heading2Char"/>
          <w:i/>
          <w:color w:val="auto"/>
          <w:sz w:val="28"/>
          <w:u w:val="single"/>
        </w:rPr>
        <w:t xml:space="preserve"> </w:t>
      </w:r>
      <w:r w:rsidR="00DB64DD" w:rsidRPr="00A423BA">
        <w:rPr>
          <w:rStyle w:val="Heading2Char"/>
          <w:i/>
          <w:color w:val="auto"/>
          <w:sz w:val="28"/>
          <w:u w:val="single"/>
        </w:rPr>
        <w:t>(Main C</w:t>
      </w:r>
      <w:r w:rsidR="00AA2CD8" w:rsidRPr="00A423BA">
        <w:rPr>
          <w:rStyle w:val="Heading2Char"/>
          <w:i/>
          <w:color w:val="auto"/>
          <w:sz w:val="28"/>
          <w:u w:val="single"/>
        </w:rPr>
        <w:t>haracteristics of L</w:t>
      </w:r>
      <w:r w:rsidR="00F408EF" w:rsidRPr="00A423BA">
        <w:rPr>
          <w:rStyle w:val="Heading2Char"/>
          <w:i/>
          <w:color w:val="auto"/>
          <w:sz w:val="28"/>
          <w:u w:val="single"/>
        </w:rPr>
        <w:t xml:space="preserve">ife </w:t>
      </w:r>
      <w:r w:rsidR="00AA2CD8" w:rsidRPr="00A423BA">
        <w:rPr>
          <w:rStyle w:val="Heading2Char"/>
          <w:i/>
          <w:color w:val="auto"/>
          <w:sz w:val="28"/>
          <w:u w:val="single"/>
        </w:rPr>
        <w:t>S</w:t>
      </w:r>
      <w:r w:rsidR="00F408EF" w:rsidRPr="00A423BA">
        <w:rPr>
          <w:rStyle w:val="Heading2Char"/>
          <w:i/>
          <w:color w:val="auto"/>
          <w:sz w:val="28"/>
          <w:u w:val="single"/>
        </w:rPr>
        <w:t>ettlements</w:t>
      </w:r>
      <w:r w:rsidR="00AA2CD8" w:rsidRPr="00A423BA">
        <w:rPr>
          <w:rStyle w:val="Heading2Char"/>
          <w:i/>
          <w:color w:val="auto"/>
          <w:sz w:val="28"/>
          <w:u w:val="single"/>
        </w:rPr>
        <w:t>)</w:t>
      </w:r>
      <w:bookmarkEnd w:id="14"/>
      <w:bookmarkEnd w:id="15"/>
      <w:r w:rsidR="00AA2CD8" w:rsidRPr="005A742E">
        <w:rPr>
          <w:rFonts w:ascii="Times New Roman" w:hAnsi="Times New Roman" w:cs="Times New Roman"/>
          <w:sz w:val="24"/>
        </w:rPr>
        <w:br/>
      </w:r>
      <w:r w:rsidR="00755A67" w:rsidRPr="005A742E">
        <w:rPr>
          <w:rFonts w:ascii="Times New Roman" w:hAnsi="Times New Roman" w:cs="Times New Roman"/>
          <w:sz w:val="24"/>
        </w:rPr>
        <w:br/>
      </w:r>
      <w:r w:rsidR="00AA2CD8" w:rsidRPr="005A742E">
        <w:rPr>
          <w:rFonts w:ascii="Times New Roman" w:hAnsi="Times New Roman" w:cs="Times New Roman"/>
          <w:sz w:val="24"/>
        </w:rPr>
        <w:br/>
      </w:r>
      <w:r w:rsidR="00AA2CD8" w:rsidRPr="005A742E">
        <w:rPr>
          <w:rFonts w:ascii="Times New Roman" w:hAnsi="Times New Roman" w:cs="Times New Roman"/>
          <w:noProof/>
          <w:sz w:val="24"/>
          <w:lang w:eastAsia="en-GB"/>
        </w:rPr>
        <w:drawing>
          <wp:inline distT="0" distB="0" distL="0" distR="0" wp14:anchorId="06A0FD94" wp14:editId="33F9A202">
            <wp:extent cx="6446772" cy="25787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935" cy="258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CD8" w:rsidRPr="005A742E">
        <w:rPr>
          <w:rFonts w:ascii="Times New Roman" w:hAnsi="Times New Roman" w:cs="Times New Roman"/>
          <w:sz w:val="24"/>
        </w:rPr>
        <w:t xml:space="preserve">     </w:t>
      </w:r>
      <w:r w:rsidR="00B37D5F" w:rsidRPr="005A742E">
        <w:rPr>
          <w:rFonts w:ascii="Times New Roman" w:hAnsi="Times New Roman" w:cs="Times New Roman"/>
          <w:sz w:val="24"/>
        </w:rPr>
        <w:br/>
      </w:r>
      <w:r w:rsidR="00AA2CD8" w:rsidRPr="005A742E">
        <w:rPr>
          <w:rFonts w:ascii="Times New Roman" w:hAnsi="Times New Roman" w:cs="Times New Roman"/>
          <w:sz w:val="14"/>
        </w:rPr>
        <w:t xml:space="preserve">* </w:t>
      </w:r>
      <w:r w:rsidR="00AF6653" w:rsidRPr="005A742E">
        <w:rPr>
          <w:rFonts w:ascii="Times New Roman" w:hAnsi="Times New Roman" w:cs="Times New Roman"/>
          <w:sz w:val="14"/>
        </w:rPr>
        <w:t>Open-ended</w:t>
      </w:r>
      <w:r w:rsidR="00AA2CD8" w:rsidRPr="005A742E">
        <w:rPr>
          <w:rFonts w:ascii="Times New Roman" w:hAnsi="Times New Roman" w:cs="Times New Roman"/>
          <w:sz w:val="14"/>
        </w:rPr>
        <w:t xml:space="preserve"> structure</w:t>
      </w:r>
      <w:r w:rsidR="00B55A6A" w:rsidRPr="005A742E">
        <w:rPr>
          <w:rFonts w:ascii="Times New Roman" w:hAnsi="Times New Roman" w:cs="Times New Roman"/>
          <w:sz w:val="14"/>
        </w:rPr>
        <w:t>s</w:t>
      </w:r>
      <w:r w:rsidR="00AA2CD8" w:rsidRPr="005A742E">
        <w:rPr>
          <w:rFonts w:ascii="Times New Roman" w:hAnsi="Times New Roman" w:cs="Times New Roman"/>
          <w:sz w:val="14"/>
        </w:rPr>
        <w:t xml:space="preserve"> only</w:t>
      </w:r>
      <w:r w:rsidR="00876185" w:rsidRPr="005A742E">
        <w:rPr>
          <w:rFonts w:ascii="Times New Roman" w:hAnsi="Times New Roman" w:cs="Times New Roman"/>
          <w:sz w:val="24"/>
        </w:rPr>
        <w:br/>
      </w:r>
      <w:r w:rsidR="00876185" w:rsidRPr="005A742E">
        <w:rPr>
          <w:rFonts w:ascii="Times New Roman" w:hAnsi="Times New Roman" w:cs="Times New Roman"/>
        </w:rPr>
        <w:br/>
      </w:r>
    </w:p>
    <w:p w14:paraId="27D1660D" w14:textId="77777777" w:rsidR="00B37D5F" w:rsidRPr="005A742E" w:rsidRDefault="00B37D5F" w:rsidP="00B37D5F">
      <w:pPr>
        <w:spacing w:after="0"/>
        <w:rPr>
          <w:rFonts w:ascii="Times New Roman" w:hAnsi="Times New Roman" w:cs="Times New Roman"/>
          <w:b/>
          <w:u w:val="single"/>
        </w:rPr>
      </w:pPr>
    </w:p>
    <w:p w14:paraId="2744BF5D" w14:textId="77777777" w:rsidR="00B37D5F" w:rsidRPr="005A742E" w:rsidRDefault="00B37D5F" w:rsidP="00B37D5F">
      <w:pPr>
        <w:spacing w:after="0"/>
        <w:rPr>
          <w:rFonts w:ascii="Times New Roman" w:hAnsi="Times New Roman" w:cs="Times New Roman"/>
          <w:b/>
          <w:u w:val="single"/>
        </w:rPr>
      </w:pPr>
    </w:p>
    <w:p w14:paraId="136E26EF" w14:textId="77777777" w:rsidR="00B37D5F" w:rsidRPr="005A742E" w:rsidRDefault="00B37D5F" w:rsidP="00B37D5F">
      <w:pPr>
        <w:spacing w:after="0"/>
        <w:rPr>
          <w:rFonts w:ascii="Times New Roman" w:hAnsi="Times New Roman" w:cs="Times New Roman"/>
          <w:b/>
          <w:u w:val="single"/>
        </w:rPr>
      </w:pPr>
    </w:p>
    <w:p w14:paraId="03D851A1" w14:textId="77777777" w:rsidR="00B37D5F" w:rsidRPr="005A742E" w:rsidRDefault="00B37D5F" w:rsidP="00B37D5F">
      <w:pPr>
        <w:spacing w:after="0"/>
        <w:rPr>
          <w:rFonts w:ascii="Times New Roman" w:hAnsi="Times New Roman" w:cs="Times New Roman"/>
          <w:b/>
          <w:u w:val="single"/>
        </w:rPr>
      </w:pPr>
    </w:p>
    <w:p w14:paraId="1CC046D0" w14:textId="77777777" w:rsidR="00B37D5F" w:rsidRPr="005A742E" w:rsidRDefault="00B37D5F" w:rsidP="00B37D5F">
      <w:pPr>
        <w:spacing w:after="0"/>
        <w:rPr>
          <w:rFonts w:ascii="Times New Roman" w:hAnsi="Times New Roman" w:cs="Times New Roman"/>
          <w:b/>
          <w:u w:val="single"/>
        </w:rPr>
      </w:pPr>
    </w:p>
    <w:p w14:paraId="17694B51" w14:textId="77777777" w:rsidR="00B37D5F" w:rsidRPr="005A742E" w:rsidRDefault="00B37D5F" w:rsidP="00B37D5F">
      <w:pPr>
        <w:spacing w:after="0"/>
        <w:rPr>
          <w:rFonts w:ascii="Times New Roman" w:hAnsi="Times New Roman" w:cs="Times New Roman"/>
          <w:b/>
          <w:u w:val="single"/>
        </w:rPr>
      </w:pPr>
    </w:p>
    <w:p w14:paraId="3D7B2D48" w14:textId="77777777" w:rsidR="00B37D5F" w:rsidRPr="005A742E" w:rsidRDefault="00B37D5F" w:rsidP="00B37D5F">
      <w:pPr>
        <w:spacing w:after="0"/>
        <w:rPr>
          <w:rFonts w:ascii="Times New Roman" w:hAnsi="Times New Roman" w:cs="Times New Roman"/>
          <w:b/>
          <w:u w:val="single"/>
        </w:rPr>
      </w:pPr>
    </w:p>
    <w:p w14:paraId="3984E83E" w14:textId="77777777" w:rsidR="00B37D5F" w:rsidRPr="005A742E" w:rsidRDefault="00B37D5F" w:rsidP="00B37D5F">
      <w:pPr>
        <w:spacing w:after="0"/>
        <w:rPr>
          <w:rFonts w:ascii="Times New Roman" w:hAnsi="Times New Roman" w:cs="Times New Roman"/>
          <w:b/>
          <w:u w:val="single"/>
        </w:rPr>
      </w:pPr>
    </w:p>
    <w:p w14:paraId="3ACE5822" w14:textId="77777777" w:rsidR="00B37D5F" w:rsidRPr="005A742E" w:rsidRDefault="00B37D5F" w:rsidP="00B37D5F">
      <w:pPr>
        <w:spacing w:after="0"/>
        <w:rPr>
          <w:rFonts w:ascii="Times New Roman" w:hAnsi="Times New Roman" w:cs="Times New Roman"/>
          <w:b/>
          <w:u w:val="single"/>
        </w:rPr>
      </w:pPr>
    </w:p>
    <w:p w14:paraId="1917E061" w14:textId="77777777" w:rsidR="00B37D5F" w:rsidRPr="005A742E" w:rsidRDefault="00B37D5F" w:rsidP="00B37D5F">
      <w:pPr>
        <w:spacing w:after="0"/>
        <w:rPr>
          <w:rFonts w:ascii="Times New Roman" w:hAnsi="Times New Roman" w:cs="Times New Roman"/>
          <w:b/>
          <w:u w:val="single"/>
        </w:rPr>
      </w:pPr>
    </w:p>
    <w:p w14:paraId="44079C6A" w14:textId="77777777" w:rsidR="00B37D5F" w:rsidRPr="005A742E" w:rsidRDefault="00B37D5F" w:rsidP="00B37D5F">
      <w:pPr>
        <w:spacing w:after="0"/>
        <w:rPr>
          <w:rFonts w:ascii="Times New Roman" w:hAnsi="Times New Roman" w:cs="Times New Roman"/>
          <w:b/>
          <w:u w:val="single"/>
        </w:rPr>
      </w:pPr>
    </w:p>
    <w:p w14:paraId="73086AAB" w14:textId="77777777" w:rsidR="00B37D5F" w:rsidRPr="005A742E" w:rsidRDefault="00B37D5F" w:rsidP="00B37D5F">
      <w:pPr>
        <w:spacing w:after="0"/>
        <w:rPr>
          <w:rFonts w:ascii="Times New Roman" w:hAnsi="Times New Roman" w:cs="Times New Roman"/>
          <w:b/>
          <w:u w:val="single"/>
        </w:rPr>
      </w:pPr>
    </w:p>
    <w:p w14:paraId="026A4EED" w14:textId="3EFDC092" w:rsidR="00952E9F" w:rsidRPr="005A742E" w:rsidRDefault="00755A67" w:rsidP="00B37D5F">
      <w:pPr>
        <w:spacing w:after="0"/>
        <w:rPr>
          <w:rFonts w:ascii="Times New Roman" w:hAnsi="Times New Roman" w:cs="Times New Roman"/>
          <w:b/>
          <w:u w:val="single"/>
        </w:rPr>
      </w:pPr>
      <w:r w:rsidRPr="005A742E">
        <w:rPr>
          <w:rFonts w:ascii="Times New Roman" w:hAnsi="Times New Roman" w:cs="Times New Roman"/>
          <w:b/>
          <w:u w:val="single"/>
        </w:rPr>
        <w:br/>
      </w:r>
    </w:p>
    <w:p w14:paraId="2E0866B1" w14:textId="77777777" w:rsidR="00A45540" w:rsidRDefault="00A45540" w:rsidP="00AA2CD8">
      <w:pPr>
        <w:rPr>
          <w:rStyle w:val="Heading1Char"/>
          <w:i/>
          <w:color w:val="auto"/>
          <w:u w:val="single"/>
        </w:rPr>
      </w:pPr>
      <w:bookmarkStart w:id="16" w:name="_Toc54885943"/>
      <w:bookmarkStart w:id="17" w:name="_Toc54886037"/>
    </w:p>
    <w:p w14:paraId="13586F44" w14:textId="77777777" w:rsidR="00A45540" w:rsidRDefault="00A45540" w:rsidP="00AA2CD8">
      <w:pPr>
        <w:rPr>
          <w:rStyle w:val="Heading1Char"/>
          <w:i/>
          <w:color w:val="auto"/>
          <w:u w:val="single"/>
        </w:rPr>
      </w:pPr>
    </w:p>
    <w:p w14:paraId="42B14ACF" w14:textId="77777777" w:rsidR="00A45540" w:rsidRDefault="00A45540" w:rsidP="00AA2CD8">
      <w:pPr>
        <w:rPr>
          <w:rStyle w:val="Heading1Char"/>
          <w:i/>
          <w:color w:val="auto"/>
          <w:u w:val="single"/>
        </w:rPr>
      </w:pPr>
    </w:p>
    <w:p w14:paraId="268FCF80" w14:textId="77777777" w:rsidR="00A45540" w:rsidRDefault="00A45540" w:rsidP="00AA2CD8">
      <w:pPr>
        <w:rPr>
          <w:rStyle w:val="Heading1Char"/>
          <w:i/>
          <w:color w:val="auto"/>
          <w:u w:val="single"/>
        </w:rPr>
      </w:pPr>
      <w:bookmarkStart w:id="18" w:name="_GoBack"/>
      <w:bookmarkEnd w:id="18"/>
    </w:p>
    <w:p w14:paraId="76183557" w14:textId="77777777" w:rsidR="00A45540" w:rsidRDefault="00A45540" w:rsidP="00AA2CD8">
      <w:pPr>
        <w:rPr>
          <w:rStyle w:val="Heading1Char"/>
          <w:i/>
          <w:color w:val="auto"/>
          <w:u w:val="single"/>
        </w:rPr>
      </w:pPr>
    </w:p>
    <w:p w14:paraId="19C354A0" w14:textId="77777777" w:rsidR="00A45540" w:rsidRDefault="00A45540" w:rsidP="00AA2CD8">
      <w:pPr>
        <w:rPr>
          <w:rStyle w:val="Heading1Char"/>
          <w:i/>
          <w:color w:val="auto"/>
          <w:u w:val="single"/>
        </w:rPr>
      </w:pPr>
    </w:p>
    <w:p w14:paraId="75924814" w14:textId="77777777" w:rsidR="00A45540" w:rsidRDefault="00A45540" w:rsidP="00AA2CD8">
      <w:pPr>
        <w:rPr>
          <w:rStyle w:val="Heading1Char"/>
          <w:i/>
          <w:color w:val="auto"/>
          <w:u w:val="single"/>
        </w:rPr>
      </w:pPr>
    </w:p>
    <w:p w14:paraId="07E40BD3" w14:textId="77777777" w:rsidR="00A45540" w:rsidRDefault="00A45540" w:rsidP="00AA2CD8">
      <w:pPr>
        <w:rPr>
          <w:rStyle w:val="Heading1Char"/>
          <w:i/>
          <w:color w:val="auto"/>
          <w:u w:val="single"/>
        </w:rPr>
      </w:pPr>
    </w:p>
    <w:p w14:paraId="44176607" w14:textId="4FD901D4" w:rsidR="007A2932" w:rsidRPr="007A2932" w:rsidRDefault="00E04B5C" w:rsidP="00AA2CD8">
      <w:pPr>
        <w:rPr>
          <w:rFonts w:asciiTheme="majorHAnsi" w:eastAsiaTheme="majorEastAsia" w:hAnsiTheme="majorHAnsi" w:cstheme="majorBidi"/>
          <w:i/>
          <w:sz w:val="32"/>
          <w:szCs w:val="32"/>
          <w:u w:val="single"/>
        </w:rPr>
      </w:pPr>
      <w:r w:rsidRPr="00AD2B36">
        <w:rPr>
          <w:rStyle w:val="Heading1Char"/>
          <w:i/>
          <w:color w:val="auto"/>
          <w:u w:val="single"/>
        </w:rPr>
        <w:t>Bibliography</w:t>
      </w:r>
      <w:bookmarkEnd w:id="16"/>
      <w:bookmarkEnd w:id="17"/>
    </w:p>
    <w:p w14:paraId="71E208A5" w14:textId="332C0F51" w:rsidR="007A2932" w:rsidRPr="00533163" w:rsidRDefault="00DA1C31" w:rsidP="007A2932">
      <w:pPr>
        <w:pStyle w:val="ListParagraph"/>
        <w:numPr>
          <w:ilvl w:val="0"/>
          <w:numId w:val="3"/>
        </w:numPr>
        <w:rPr>
          <w:rStyle w:val="Hyperlink"/>
          <w:color w:val="auto"/>
          <w:sz w:val="20"/>
        </w:rPr>
      </w:pPr>
      <w:hyperlink r:id="rId20" w:history="1">
        <w:r w:rsidR="007A2932" w:rsidRPr="00533163">
          <w:rPr>
            <w:rStyle w:val="Hyperlink"/>
            <w:rFonts w:ascii="Times New Roman" w:hAnsi="Times New Roman"/>
            <w:color w:val="auto"/>
            <w:sz w:val="20"/>
          </w:rPr>
          <w:t>https://www.ft.com/content/fdb793a4-712e-477f-9a81-7f67aefda21a</w:t>
        </w:r>
      </w:hyperlink>
      <w:r w:rsidR="00345CF5">
        <w:rPr>
          <w:rStyle w:val="Hyperlink"/>
          <w:color w:val="auto"/>
          <w:sz w:val="20"/>
        </w:rPr>
        <w:br/>
      </w:r>
    </w:p>
    <w:p w14:paraId="423387EF" w14:textId="3C54609B" w:rsidR="007A2932" w:rsidRPr="00533163" w:rsidRDefault="00DA1C31" w:rsidP="007A2932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</w:rPr>
      </w:pPr>
      <w:hyperlink r:id="rId21" w:history="1">
        <w:r w:rsidR="007A2932" w:rsidRPr="00533163">
          <w:rPr>
            <w:rStyle w:val="Hyperlink"/>
            <w:rFonts w:ascii="Times New Roman" w:hAnsi="Times New Roman"/>
            <w:color w:val="auto"/>
            <w:sz w:val="20"/>
          </w:rPr>
          <w:t>https://www.wealthadviser.co/2020/06/15/286511/hnw-investors-gearing-alternative-investment-opportunities</w:t>
        </w:r>
      </w:hyperlink>
      <w:r w:rsidR="00345CF5">
        <w:rPr>
          <w:rStyle w:val="Hyperlink"/>
          <w:rFonts w:ascii="Times New Roman" w:hAnsi="Times New Roman"/>
          <w:color w:val="auto"/>
          <w:sz w:val="20"/>
        </w:rPr>
        <w:br/>
      </w:r>
    </w:p>
    <w:p w14:paraId="6CA33D76" w14:textId="0C0AED68" w:rsidR="007A2932" w:rsidRPr="00533163" w:rsidRDefault="00DA1C31" w:rsidP="007A2932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</w:rPr>
      </w:pPr>
      <w:hyperlink r:id="rId22" w:history="1">
        <w:r w:rsidR="007A2932" w:rsidRPr="00533163">
          <w:rPr>
            <w:rStyle w:val="Hyperlink"/>
            <w:rFonts w:ascii="Times New Roman" w:hAnsi="Times New Roman"/>
            <w:color w:val="auto"/>
            <w:sz w:val="20"/>
          </w:rPr>
          <w:t>https://www.institutionalinvestor.com/article/b1np4x2kqcyzst/What-s-Driving-Multi-Asset-Funds-Into-Alternatives</w:t>
        </w:r>
      </w:hyperlink>
      <w:r w:rsidR="00345CF5">
        <w:rPr>
          <w:rStyle w:val="Hyperlink"/>
          <w:rFonts w:ascii="Times New Roman" w:hAnsi="Times New Roman"/>
          <w:color w:val="auto"/>
          <w:sz w:val="20"/>
        </w:rPr>
        <w:br/>
      </w:r>
    </w:p>
    <w:p w14:paraId="457FF2EF" w14:textId="1A42731E" w:rsidR="007A2932" w:rsidRPr="00533163" w:rsidRDefault="00DA1C31" w:rsidP="007A2932">
      <w:pPr>
        <w:pStyle w:val="ListParagraph"/>
        <w:numPr>
          <w:ilvl w:val="0"/>
          <w:numId w:val="3"/>
        </w:numPr>
        <w:rPr>
          <w:rStyle w:val="Hyperlink"/>
          <w:color w:val="auto"/>
          <w:sz w:val="20"/>
        </w:rPr>
      </w:pPr>
      <w:hyperlink r:id="rId23" w:history="1">
        <w:r w:rsidR="007A2932" w:rsidRPr="00533163">
          <w:rPr>
            <w:rStyle w:val="Hyperlink"/>
            <w:rFonts w:ascii="Times New Roman" w:hAnsi="Times New Roman"/>
            <w:color w:val="auto"/>
            <w:sz w:val="20"/>
          </w:rPr>
          <w:t>https://www.hedgeweek.com/2020/10/08/290657/hedge-funds-stumble-september-stormy-markets-bring-five-month-surge-end</w:t>
        </w:r>
      </w:hyperlink>
      <w:r w:rsidR="00345CF5">
        <w:rPr>
          <w:rStyle w:val="Hyperlink"/>
          <w:rFonts w:ascii="Times New Roman" w:hAnsi="Times New Roman"/>
          <w:color w:val="auto"/>
          <w:sz w:val="20"/>
        </w:rPr>
        <w:br/>
      </w:r>
    </w:p>
    <w:p w14:paraId="534D1320" w14:textId="0247128E" w:rsidR="007A2932" w:rsidRPr="00533163" w:rsidRDefault="00DA1C31" w:rsidP="007A2932">
      <w:pPr>
        <w:pStyle w:val="ListParagraph"/>
        <w:numPr>
          <w:ilvl w:val="0"/>
          <w:numId w:val="3"/>
        </w:numPr>
        <w:rPr>
          <w:rStyle w:val="Hyperlink"/>
          <w:color w:val="auto"/>
          <w:sz w:val="20"/>
        </w:rPr>
      </w:pPr>
      <w:hyperlink r:id="rId24" w:history="1">
        <w:r w:rsidR="007A2932" w:rsidRPr="00533163">
          <w:rPr>
            <w:rStyle w:val="Hyperlink"/>
            <w:rFonts w:ascii="Times New Roman" w:hAnsi="Times New Roman"/>
            <w:color w:val="auto"/>
            <w:sz w:val="20"/>
          </w:rPr>
          <w:t>https://www.mckinsey.com/industries/private-equity-and-principal-investors/our-insights/a-rolling-disruption-covid-19s-implications-for-private-equity-and-portfolio-companies</w:t>
        </w:r>
      </w:hyperlink>
      <w:r w:rsidR="00345CF5">
        <w:rPr>
          <w:rStyle w:val="Hyperlink"/>
          <w:rFonts w:ascii="Times New Roman" w:hAnsi="Times New Roman"/>
          <w:color w:val="auto"/>
          <w:sz w:val="20"/>
        </w:rPr>
        <w:br/>
      </w:r>
    </w:p>
    <w:p w14:paraId="0AA2A144" w14:textId="7B9F7E17" w:rsidR="007A2932" w:rsidRPr="00533163" w:rsidRDefault="00DA1C31" w:rsidP="007A2932">
      <w:pPr>
        <w:pStyle w:val="ListParagraph"/>
        <w:numPr>
          <w:ilvl w:val="0"/>
          <w:numId w:val="3"/>
        </w:numPr>
        <w:rPr>
          <w:rStyle w:val="Hyperlink"/>
          <w:color w:val="auto"/>
          <w:sz w:val="20"/>
        </w:rPr>
      </w:pPr>
      <w:hyperlink r:id="rId25" w:history="1">
        <w:r w:rsidR="007A2932" w:rsidRPr="00533163">
          <w:rPr>
            <w:rStyle w:val="Hyperlink"/>
            <w:rFonts w:ascii="Times New Roman" w:hAnsi="Times New Roman"/>
            <w:color w:val="auto"/>
            <w:sz w:val="20"/>
          </w:rPr>
          <w:t>https://www.spglobal.com/marketintelligence/en/news-insights/research/the-impact-of-the-covid19-pandemic-on-the-private-equity-market</w:t>
        </w:r>
      </w:hyperlink>
      <w:r w:rsidR="00345CF5">
        <w:rPr>
          <w:rStyle w:val="Hyperlink"/>
          <w:rFonts w:ascii="Times New Roman" w:hAnsi="Times New Roman"/>
          <w:color w:val="auto"/>
          <w:sz w:val="20"/>
        </w:rPr>
        <w:br/>
      </w:r>
    </w:p>
    <w:p w14:paraId="1745F94C" w14:textId="30B53484" w:rsidR="007A2932" w:rsidRPr="00533163" w:rsidRDefault="00DA1C31" w:rsidP="007A2932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</w:rPr>
      </w:pPr>
      <w:hyperlink r:id="rId26" w:history="1">
        <w:r w:rsidR="007A2932" w:rsidRPr="00533163">
          <w:rPr>
            <w:rStyle w:val="Hyperlink"/>
            <w:rFonts w:ascii="Times New Roman" w:hAnsi="Times New Roman"/>
            <w:color w:val="auto"/>
            <w:sz w:val="20"/>
          </w:rPr>
          <w:t>https://www.invesco.com/emea/en/invesco-insights/insights/cat-bonds-and-ils-are-a-fundamentally-esg-oriented-investments.html</w:t>
        </w:r>
      </w:hyperlink>
      <w:r w:rsidR="00345CF5">
        <w:rPr>
          <w:rStyle w:val="Hyperlink"/>
          <w:rFonts w:ascii="Times New Roman" w:hAnsi="Times New Roman"/>
          <w:color w:val="auto"/>
          <w:sz w:val="20"/>
        </w:rPr>
        <w:br/>
      </w:r>
    </w:p>
    <w:p w14:paraId="7C4DBF60" w14:textId="339D14BA" w:rsidR="007A2932" w:rsidRPr="00533163" w:rsidRDefault="00DA1C31" w:rsidP="007A2932">
      <w:pPr>
        <w:pStyle w:val="ListParagraph"/>
        <w:numPr>
          <w:ilvl w:val="0"/>
          <w:numId w:val="3"/>
        </w:numPr>
        <w:rPr>
          <w:rStyle w:val="Hyperlink"/>
          <w:color w:val="auto"/>
          <w:sz w:val="20"/>
        </w:rPr>
      </w:pPr>
      <w:hyperlink r:id="rId27" w:history="1">
        <w:r w:rsidR="007A2932" w:rsidRPr="00533163">
          <w:rPr>
            <w:rStyle w:val="Hyperlink"/>
            <w:rFonts w:ascii="Times New Roman" w:hAnsi="Times New Roman"/>
            <w:color w:val="auto"/>
            <w:sz w:val="20"/>
          </w:rPr>
          <w:t>https://www.businessinsurance.com/article/20200929/NEWS06/912336750/Insurance-linked-securities-rebound-from-pandemic-disruption</w:t>
        </w:r>
      </w:hyperlink>
    </w:p>
    <w:p w14:paraId="5A4CDA11" w14:textId="6C86C80E" w:rsidR="007A2932" w:rsidRPr="007A2932" w:rsidRDefault="007A2932" w:rsidP="007A2932">
      <w:pPr>
        <w:rPr>
          <w:rStyle w:val="Hyperlink"/>
          <w:i/>
          <w:sz w:val="20"/>
        </w:rPr>
      </w:pPr>
      <w:r>
        <w:rPr>
          <w:rStyle w:val="Hyperlink"/>
          <w:sz w:val="20"/>
        </w:rPr>
        <w:br/>
      </w:r>
      <w:r w:rsidRPr="007A2932">
        <w:rPr>
          <w:rStyle w:val="Hyperlink"/>
          <w:i/>
          <w:color w:val="auto"/>
          <w:sz w:val="20"/>
        </w:rPr>
        <w:t>Additional Lectures:</w:t>
      </w:r>
    </w:p>
    <w:p w14:paraId="4CDB9092" w14:textId="32AC759C" w:rsidR="00514F92" w:rsidRPr="00345CF5" w:rsidRDefault="00DA1C31" w:rsidP="00514F92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u w:val="single"/>
        </w:rPr>
      </w:pPr>
      <w:hyperlink r:id="rId28" w:history="1">
        <w:r w:rsidR="007A2932" w:rsidRPr="00533163">
          <w:rPr>
            <w:rStyle w:val="Hyperlink"/>
            <w:rFonts w:ascii="Times New Roman" w:hAnsi="Times New Roman"/>
            <w:color w:val="auto"/>
            <w:sz w:val="20"/>
          </w:rPr>
          <w:t>https://thehedgefundjournal.com/beyond-60-40/</w:t>
        </w:r>
      </w:hyperlink>
      <w:r w:rsidR="00345CF5">
        <w:rPr>
          <w:rStyle w:val="Hyperlink"/>
          <w:rFonts w:ascii="Times New Roman" w:hAnsi="Times New Roman"/>
          <w:color w:val="auto"/>
          <w:sz w:val="20"/>
        </w:rPr>
        <w:br/>
      </w:r>
    </w:p>
    <w:p w14:paraId="590966A2" w14:textId="1AD0DC23" w:rsidR="005A6260" w:rsidRPr="00533163" w:rsidRDefault="00DA1C31" w:rsidP="00533163">
      <w:pPr>
        <w:pStyle w:val="ListParagraph"/>
        <w:numPr>
          <w:ilvl w:val="0"/>
          <w:numId w:val="4"/>
        </w:numPr>
        <w:rPr>
          <w:rStyle w:val="Hyperlink"/>
          <w:rFonts w:ascii="Times New Roman" w:hAnsi="Times New Roman"/>
          <w:color w:val="auto"/>
          <w:sz w:val="20"/>
        </w:rPr>
      </w:pPr>
      <w:hyperlink r:id="rId29" w:history="1">
        <w:r w:rsidR="00E04B5C" w:rsidRPr="00533163">
          <w:rPr>
            <w:rStyle w:val="Hyperlink"/>
            <w:rFonts w:ascii="Times New Roman" w:hAnsi="Times New Roman"/>
            <w:color w:val="auto"/>
            <w:sz w:val="20"/>
          </w:rPr>
          <w:t>https://www.nasdaq.com/articles/the-rise-of-alternative-investments%3A-how-central-bank-stimulus-has-forced-a-rethink-2020</w:t>
        </w:r>
      </w:hyperlink>
    </w:p>
    <w:p w14:paraId="75099297" w14:textId="77777777" w:rsidR="00514F92" w:rsidRPr="00533163" w:rsidRDefault="00514F92" w:rsidP="00514F92">
      <w:pPr>
        <w:spacing w:after="0"/>
        <w:rPr>
          <w:rFonts w:ascii="Times New Roman" w:hAnsi="Times New Roman" w:cs="Times New Roman"/>
          <w:sz w:val="20"/>
        </w:rPr>
      </w:pPr>
    </w:p>
    <w:p w14:paraId="1E461BBD" w14:textId="77777777" w:rsidR="00514F92" w:rsidRPr="00533163" w:rsidRDefault="00DA1C31" w:rsidP="00533163">
      <w:pPr>
        <w:pStyle w:val="ListParagraph"/>
        <w:numPr>
          <w:ilvl w:val="0"/>
          <w:numId w:val="4"/>
        </w:numPr>
        <w:rPr>
          <w:rStyle w:val="Hyperlink"/>
          <w:rFonts w:ascii="Times New Roman" w:hAnsi="Times New Roman"/>
          <w:color w:val="auto"/>
          <w:sz w:val="20"/>
        </w:rPr>
      </w:pPr>
      <w:hyperlink r:id="rId30" w:history="1">
        <w:r w:rsidR="00B34B3E" w:rsidRPr="00533163">
          <w:rPr>
            <w:rStyle w:val="Hyperlink"/>
            <w:rFonts w:ascii="Times New Roman" w:hAnsi="Times New Roman"/>
            <w:color w:val="auto"/>
            <w:sz w:val="20"/>
          </w:rPr>
          <w:t>https://pitchbook.com/news/articles/qa-why-life-insurance-and-lawsuits-might-be-the-next-big-things-for-pe</w:t>
        </w:r>
      </w:hyperlink>
    </w:p>
    <w:p w14:paraId="502D658E" w14:textId="02A2EE51" w:rsidR="00404199" w:rsidRPr="00533163" w:rsidRDefault="007A2932" w:rsidP="00533163">
      <w:pPr>
        <w:pStyle w:val="ListParagraph"/>
        <w:numPr>
          <w:ilvl w:val="0"/>
          <w:numId w:val="4"/>
        </w:numPr>
        <w:rPr>
          <w:rStyle w:val="Hyperlink"/>
          <w:rFonts w:ascii="Times New Roman" w:hAnsi="Times New Roman"/>
          <w:color w:val="auto"/>
          <w:sz w:val="20"/>
        </w:rPr>
      </w:pPr>
      <w:r w:rsidRPr="00533163">
        <w:rPr>
          <w:rFonts w:ascii="Times New Roman" w:hAnsi="Times New Roman"/>
        </w:rPr>
        <w:br/>
      </w:r>
      <w:hyperlink r:id="rId31" w:history="1">
        <w:r w:rsidR="003E1E19" w:rsidRPr="00533163">
          <w:rPr>
            <w:rStyle w:val="Hyperlink"/>
            <w:rFonts w:ascii="Times New Roman" w:hAnsi="Times New Roman"/>
            <w:color w:val="auto"/>
            <w:sz w:val="20"/>
          </w:rPr>
          <w:t>https://www.streetinsider.com/Business+Wire/Alternative+Investment+Professionals+Predict+That+Full+Deal+Activity+Will+Return+in+2021/17467178.html</w:t>
        </w:r>
      </w:hyperlink>
    </w:p>
    <w:p w14:paraId="3F9D45EF" w14:textId="77777777" w:rsidR="00514F92" w:rsidRPr="00533163" w:rsidRDefault="00514F92" w:rsidP="00514F92">
      <w:pPr>
        <w:spacing w:after="0"/>
        <w:rPr>
          <w:rFonts w:ascii="Times New Roman" w:hAnsi="Times New Roman" w:cs="Times New Roman"/>
          <w:sz w:val="20"/>
          <w:u w:val="single"/>
        </w:rPr>
      </w:pPr>
    </w:p>
    <w:p w14:paraId="789DDE09" w14:textId="77777777" w:rsidR="00A446AF" w:rsidRPr="00533163" w:rsidRDefault="00DA1C31" w:rsidP="00533163">
      <w:pPr>
        <w:pStyle w:val="ListParagraph"/>
        <w:numPr>
          <w:ilvl w:val="0"/>
          <w:numId w:val="4"/>
        </w:numPr>
        <w:rPr>
          <w:rStyle w:val="Hyperlink"/>
          <w:rFonts w:ascii="Times New Roman" w:hAnsi="Times New Roman"/>
          <w:color w:val="auto"/>
          <w:sz w:val="20"/>
        </w:rPr>
      </w:pPr>
      <w:hyperlink r:id="rId32" w:history="1">
        <w:r w:rsidR="00A446AF" w:rsidRPr="00533163">
          <w:rPr>
            <w:rStyle w:val="Hyperlink"/>
            <w:rFonts w:ascii="Times New Roman" w:hAnsi="Times New Roman"/>
            <w:color w:val="auto"/>
            <w:sz w:val="20"/>
          </w:rPr>
          <w:t>https://litigationfinancejournal.com/value-in-litigation-implications-for-litigation-finance/</w:t>
        </w:r>
      </w:hyperlink>
      <w:r w:rsidR="00C75F48" w:rsidRPr="00533163">
        <w:rPr>
          <w:rFonts w:ascii="Times New Roman" w:hAnsi="Times New Roman"/>
          <w:sz w:val="20"/>
        </w:rPr>
        <w:br/>
      </w:r>
      <w:r w:rsidR="00C75F48" w:rsidRPr="00533163">
        <w:rPr>
          <w:rFonts w:ascii="Times New Roman" w:hAnsi="Times New Roman"/>
          <w:sz w:val="20"/>
        </w:rPr>
        <w:br/>
      </w:r>
      <w:hyperlink r:id="rId33" w:history="1">
        <w:r w:rsidR="00C75F48" w:rsidRPr="00533163">
          <w:rPr>
            <w:rStyle w:val="Hyperlink"/>
            <w:rFonts w:ascii="Times New Roman" w:hAnsi="Times New Roman"/>
            <w:color w:val="auto"/>
            <w:sz w:val="20"/>
          </w:rPr>
          <w:t>https://www.investopedia.com/terms/c/catastrophebond.asp</w:t>
        </w:r>
      </w:hyperlink>
    </w:p>
    <w:p w14:paraId="0B4999AE" w14:textId="77777777" w:rsidR="00514F92" w:rsidRPr="00533163" w:rsidRDefault="00514F92" w:rsidP="00514F92">
      <w:pPr>
        <w:spacing w:after="0"/>
        <w:rPr>
          <w:rFonts w:ascii="Times New Roman" w:hAnsi="Times New Roman" w:cs="Times New Roman"/>
          <w:sz w:val="20"/>
        </w:rPr>
      </w:pPr>
    </w:p>
    <w:p w14:paraId="730E5A95" w14:textId="0E7BC9AA" w:rsidR="005A6260" w:rsidRPr="00533163" w:rsidRDefault="00DA1C31" w:rsidP="00533163">
      <w:pPr>
        <w:pStyle w:val="ListParagraph"/>
        <w:numPr>
          <w:ilvl w:val="0"/>
          <w:numId w:val="4"/>
        </w:numPr>
        <w:rPr>
          <w:rStyle w:val="Hyperlink"/>
          <w:rFonts w:ascii="Times New Roman" w:hAnsi="Times New Roman"/>
          <w:color w:val="auto"/>
          <w:sz w:val="20"/>
        </w:rPr>
      </w:pPr>
      <w:hyperlink r:id="rId34" w:history="1">
        <w:r w:rsidR="00C84892" w:rsidRPr="00533163">
          <w:rPr>
            <w:rStyle w:val="Hyperlink"/>
            <w:rFonts w:ascii="Times New Roman" w:hAnsi="Times New Roman"/>
            <w:color w:val="auto"/>
            <w:sz w:val="20"/>
          </w:rPr>
          <w:t>https://www.bloomberg.com/news/articles/2020-10-13/bond-markets-suggest-don-t-write-off-inflation-risks-just-yet</w:t>
        </w:r>
      </w:hyperlink>
      <w:r w:rsidR="00A00AC5" w:rsidRPr="00533163">
        <w:rPr>
          <w:rStyle w:val="Hyperlink"/>
          <w:rFonts w:ascii="Times New Roman" w:hAnsi="Times New Roman"/>
          <w:color w:val="auto"/>
          <w:sz w:val="20"/>
        </w:rPr>
        <w:br/>
      </w:r>
      <w:r w:rsidR="00A00AC5" w:rsidRPr="00533163">
        <w:rPr>
          <w:rStyle w:val="Hyperlink"/>
          <w:rFonts w:ascii="Times New Roman" w:hAnsi="Times New Roman"/>
          <w:color w:val="auto"/>
          <w:sz w:val="20"/>
        </w:rPr>
        <w:br/>
      </w:r>
      <w:hyperlink r:id="rId35" w:history="1">
        <w:r w:rsidR="00A00AC5" w:rsidRPr="00533163">
          <w:rPr>
            <w:rStyle w:val="Hyperlink"/>
            <w:rFonts w:ascii="Times New Roman" w:hAnsi="Times New Roman"/>
            <w:color w:val="auto"/>
            <w:sz w:val="20"/>
          </w:rPr>
          <w:t>https://www.artemis.bm/news/ils-asset-valuation-an-art-and-a-science-horseshoes-jb-crozet/</w:t>
        </w:r>
      </w:hyperlink>
      <w:r w:rsidR="00BF4F56" w:rsidRPr="00533163">
        <w:rPr>
          <w:rFonts w:ascii="Times New Roman" w:hAnsi="Times New Roman"/>
          <w:sz w:val="20"/>
        </w:rPr>
        <w:br/>
      </w:r>
      <w:r w:rsidR="00BF4F56" w:rsidRPr="00533163">
        <w:rPr>
          <w:rFonts w:ascii="Times New Roman" w:hAnsi="Times New Roman"/>
          <w:sz w:val="20"/>
        </w:rPr>
        <w:br/>
      </w:r>
      <w:hyperlink r:id="rId36" w:history="1">
        <w:r w:rsidR="00BF4F56" w:rsidRPr="00533163">
          <w:rPr>
            <w:rStyle w:val="Hyperlink"/>
            <w:rFonts w:ascii="Times New Roman" w:hAnsi="Times New Roman"/>
            <w:color w:val="auto"/>
            <w:sz w:val="20"/>
          </w:rPr>
          <w:t>https://www.investopedia.com/terms/c/catastrophebond.asp</w:t>
        </w:r>
      </w:hyperlink>
      <w:r w:rsidR="00FF08ED" w:rsidRPr="00533163">
        <w:rPr>
          <w:rFonts w:ascii="Times New Roman" w:hAnsi="Times New Roman"/>
          <w:sz w:val="20"/>
        </w:rPr>
        <w:br/>
      </w:r>
      <w:r w:rsidR="00FF08ED" w:rsidRPr="00533163">
        <w:rPr>
          <w:rFonts w:ascii="Times New Roman" w:hAnsi="Times New Roman"/>
          <w:sz w:val="20"/>
        </w:rPr>
        <w:br/>
      </w:r>
      <w:hyperlink r:id="rId37" w:history="1">
        <w:r w:rsidR="00FF08ED" w:rsidRPr="00533163">
          <w:rPr>
            <w:rStyle w:val="Hyperlink"/>
            <w:rFonts w:ascii="Times New Roman" w:hAnsi="Times New Roman"/>
            <w:color w:val="auto"/>
            <w:sz w:val="20"/>
          </w:rPr>
          <w:t>https://www.partnerre.com/assets/uploads/docs/The-Drivers-of-Catastrophe-Bond-Pricing.pdf</w:t>
        </w:r>
      </w:hyperlink>
    </w:p>
    <w:p w14:paraId="0F90B79F" w14:textId="77777777" w:rsidR="00514F92" w:rsidRPr="00533163" w:rsidRDefault="00514F92" w:rsidP="00514F92">
      <w:pPr>
        <w:spacing w:after="0"/>
        <w:rPr>
          <w:rFonts w:ascii="Times New Roman" w:hAnsi="Times New Roman" w:cs="Times New Roman"/>
          <w:sz w:val="20"/>
        </w:rPr>
      </w:pPr>
    </w:p>
    <w:p w14:paraId="72621819" w14:textId="77777777" w:rsidR="002A0996" w:rsidRDefault="005A6260" w:rsidP="00533163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</w:rPr>
      </w:pPr>
      <w:r w:rsidRPr="00533163">
        <w:rPr>
          <w:rFonts w:ascii="Times New Roman" w:hAnsi="Times New Roman"/>
          <w:sz w:val="20"/>
        </w:rPr>
        <w:t>The Cerulli Report – US Alternative Investments 2019, Democratization of Alternatives</w:t>
      </w:r>
    </w:p>
    <w:p w14:paraId="0C447FBA" w14:textId="77777777" w:rsidR="002A0996" w:rsidRPr="002A0996" w:rsidRDefault="002A0996" w:rsidP="002A0996">
      <w:pPr>
        <w:pStyle w:val="ListParagraph"/>
        <w:rPr>
          <w:rFonts w:ascii="Times New Roman" w:hAnsi="Times New Roman"/>
          <w:sz w:val="20"/>
        </w:rPr>
      </w:pPr>
    </w:p>
    <w:p w14:paraId="08B5EF08" w14:textId="7AAF279D" w:rsidR="00474C38" w:rsidRPr="00533163" w:rsidRDefault="002A0996" w:rsidP="00533163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Aon </w:t>
      </w:r>
      <w:r w:rsidRPr="00533163">
        <w:rPr>
          <w:rFonts w:ascii="Times New Roman" w:hAnsi="Times New Roman"/>
          <w:sz w:val="20"/>
        </w:rPr>
        <w:t>PLC’s mid-year ILS report – September 2020</w:t>
      </w:r>
      <w:r w:rsidR="00FE3AB2" w:rsidRPr="00533163">
        <w:rPr>
          <w:rFonts w:ascii="Times New Roman" w:hAnsi="Times New Roman"/>
        </w:rPr>
        <w:br/>
      </w:r>
      <w:r w:rsidR="00FE3AB2" w:rsidRPr="00533163">
        <w:rPr>
          <w:rFonts w:ascii="Times New Roman" w:hAnsi="Times New Roman"/>
        </w:rPr>
        <w:br/>
      </w:r>
    </w:p>
    <w:sectPr w:rsidR="00474C38" w:rsidRPr="00533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6A357" w14:textId="77777777" w:rsidR="00120699" w:rsidRDefault="00120699" w:rsidP="00120699">
      <w:pPr>
        <w:spacing w:after="0" w:line="240" w:lineRule="auto"/>
      </w:pPr>
      <w:r>
        <w:separator/>
      </w:r>
    </w:p>
  </w:endnote>
  <w:endnote w:type="continuationSeparator" w:id="0">
    <w:p w14:paraId="31E842D0" w14:textId="77777777" w:rsidR="00120699" w:rsidRDefault="00120699" w:rsidP="00120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B491D" w14:textId="77777777" w:rsidR="00120699" w:rsidRDefault="00120699" w:rsidP="00120699">
      <w:pPr>
        <w:spacing w:after="0" w:line="240" w:lineRule="auto"/>
      </w:pPr>
      <w:r>
        <w:separator/>
      </w:r>
    </w:p>
  </w:footnote>
  <w:footnote w:type="continuationSeparator" w:id="0">
    <w:p w14:paraId="10035A07" w14:textId="77777777" w:rsidR="00120699" w:rsidRDefault="00120699" w:rsidP="00120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230D"/>
    <w:multiLevelType w:val="hybridMultilevel"/>
    <w:tmpl w:val="AE6CF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E3873"/>
    <w:multiLevelType w:val="hybridMultilevel"/>
    <w:tmpl w:val="3B989040"/>
    <w:lvl w:ilvl="0" w:tplc="5142E6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42FCA"/>
    <w:multiLevelType w:val="hybridMultilevel"/>
    <w:tmpl w:val="0770A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E77AF"/>
    <w:multiLevelType w:val="hybridMultilevel"/>
    <w:tmpl w:val="3D427C06"/>
    <w:lvl w:ilvl="0" w:tplc="854ADA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05"/>
    <w:rsid w:val="00001A6B"/>
    <w:rsid w:val="00003EE2"/>
    <w:rsid w:val="00005B3E"/>
    <w:rsid w:val="00011C90"/>
    <w:rsid w:val="0002267B"/>
    <w:rsid w:val="0002527E"/>
    <w:rsid w:val="00041350"/>
    <w:rsid w:val="000516E3"/>
    <w:rsid w:val="00053855"/>
    <w:rsid w:val="00055D19"/>
    <w:rsid w:val="0007175A"/>
    <w:rsid w:val="00076513"/>
    <w:rsid w:val="00083997"/>
    <w:rsid w:val="00086C38"/>
    <w:rsid w:val="00091B24"/>
    <w:rsid w:val="000B009F"/>
    <w:rsid w:val="000B5A81"/>
    <w:rsid w:val="000C302D"/>
    <w:rsid w:val="000C5095"/>
    <w:rsid w:val="000E1ACB"/>
    <w:rsid w:val="000E29D1"/>
    <w:rsid w:val="000E5582"/>
    <w:rsid w:val="000F096A"/>
    <w:rsid w:val="000F3B7F"/>
    <w:rsid w:val="000F421E"/>
    <w:rsid w:val="001032D2"/>
    <w:rsid w:val="00106853"/>
    <w:rsid w:val="00110684"/>
    <w:rsid w:val="001112E2"/>
    <w:rsid w:val="00115171"/>
    <w:rsid w:val="00120699"/>
    <w:rsid w:val="00121707"/>
    <w:rsid w:val="001241F1"/>
    <w:rsid w:val="00126F9F"/>
    <w:rsid w:val="00131593"/>
    <w:rsid w:val="001321EB"/>
    <w:rsid w:val="00134ED9"/>
    <w:rsid w:val="00135C74"/>
    <w:rsid w:val="00140F47"/>
    <w:rsid w:val="00146BB2"/>
    <w:rsid w:val="00154B7C"/>
    <w:rsid w:val="00157F77"/>
    <w:rsid w:val="00163049"/>
    <w:rsid w:val="001633E8"/>
    <w:rsid w:val="00183DEF"/>
    <w:rsid w:val="00184872"/>
    <w:rsid w:val="001925B4"/>
    <w:rsid w:val="001948D8"/>
    <w:rsid w:val="00195F33"/>
    <w:rsid w:val="001A222A"/>
    <w:rsid w:val="001B4E80"/>
    <w:rsid w:val="001B5BFD"/>
    <w:rsid w:val="001B7EF4"/>
    <w:rsid w:val="001C67A0"/>
    <w:rsid w:val="001D1C75"/>
    <w:rsid w:val="001D4BD7"/>
    <w:rsid w:val="001D4E53"/>
    <w:rsid w:val="001E19F9"/>
    <w:rsid w:val="001E3075"/>
    <w:rsid w:val="001F1418"/>
    <w:rsid w:val="001F20F2"/>
    <w:rsid w:val="001F6C6B"/>
    <w:rsid w:val="00212DEA"/>
    <w:rsid w:val="0022541C"/>
    <w:rsid w:val="00232B44"/>
    <w:rsid w:val="00233D22"/>
    <w:rsid w:val="00234017"/>
    <w:rsid w:val="0024309E"/>
    <w:rsid w:val="00246980"/>
    <w:rsid w:val="00252111"/>
    <w:rsid w:val="002553D2"/>
    <w:rsid w:val="002565F9"/>
    <w:rsid w:val="002644B6"/>
    <w:rsid w:val="002660A4"/>
    <w:rsid w:val="0026641C"/>
    <w:rsid w:val="002676EA"/>
    <w:rsid w:val="00270DC3"/>
    <w:rsid w:val="00271C88"/>
    <w:rsid w:val="00282455"/>
    <w:rsid w:val="00282AE4"/>
    <w:rsid w:val="00285AAB"/>
    <w:rsid w:val="0028691C"/>
    <w:rsid w:val="00287607"/>
    <w:rsid w:val="00291A3E"/>
    <w:rsid w:val="00292494"/>
    <w:rsid w:val="002A0996"/>
    <w:rsid w:val="002A3E63"/>
    <w:rsid w:val="002A5EB2"/>
    <w:rsid w:val="002A6E72"/>
    <w:rsid w:val="002B0FA9"/>
    <w:rsid w:val="002B2486"/>
    <w:rsid w:val="002B43B2"/>
    <w:rsid w:val="002C19AB"/>
    <w:rsid w:val="002D4CF5"/>
    <w:rsid w:val="002E623C"/>
    <w:rsid w:val="002E7750"/>
    <w:rsid w:val="002E7A9B"/>
    <w:rsid w:val="002F60AE"/>
    <w:rsid w:val="00301FAE"/>
    <w:rsid w:val="00302BA9"/>
    <w:rsid w:val="003039F2"/>
    <w:rsid w:val="00304104"/>
    <w:rsid w:val="00314D1D"/>
    <w:rsid w:val="003165DF"/>
    <w:rsid w:val="00322DE2"/>
    <w:rsid w:val="00325E92"/>
    <w:rsid w:val="00326AD6"/>
    <w:rsid w:val="00327421"/>
    <w:rsid w:val="00331D48"/>
    <w:rsid w:val="00343041"/>
    <w:rsid w:val="00344E10"/>
    <w:rsid w:val="00345CF5"/>
    <w:rsid w:val="00347EE4"/>
    <w:rsid w:val="003526A1"/>
    <w:rsid w:val="003535E0"/>
    <w:rsid w:val="00356A87"/>
    <w:rsid w:val="00374879"/>
    <w:rsid w:val="00383734"/>
    <w:rsid w:val="00386037"/>
    <w:rsid w:val="00396101"/>
    <w:rsid w:val="003A0D3C"/>
    <w:rsid w:val="003A1834"/>
    <w:rsid w:val="003C6849"/>
    <w:rsid w:val="003C7D24"/>
    <w:rsid w:val="003C7E95"/>
    <w:rsid w:val="003E1E19"/>
    <w:rsid w:val="003F0070"/>
    <w:rsid w:val="00402EAD"/>
    <w:rsid w:val="00404199"/>
    <w:rsid w:val="0040678C"/>
    <w:rsid w:val="00406DA3"/>
    <w:rsid w:val="00407761"/>
    <w:rsid w:val="00407C10"/>
    <w:rsid w:val="00413349"/>
    <w:rsid w:val="00417067"/>
    <w:rsid w:val="004236D2"/>
    <w:rsid w:val="0042594E"/>
    <w:rsid w:val="00435F22"/>
    <w:rsid w:val="00437CB1"/>
    <w:rsid w:val="004433B4"/>
    <w:rsid w:val="00452892"/>
    <w:rsid w:val="00454439"/>
    <w:rsid w:val="00457B05"/>
    <w:rsid w:val="004611E9"/>
    <w:rsid w:val="00461565"/>
    <w:rsid w:val="00475DAF"/>
    <w:rsid w:val="00482EB9"/>
    <w:rsid w:val="0049244C"/>
    <w:rsid w:val="00495A6C"/>
    <w:rsid w:val="004A6208"/>
    <w:rsid w:val="004B16B6"/>
    <w:rsid w:val="004B48FB"/>
    <w:rsid w:val="004C2595"/>
    <w:rsid w:val="004C4AE0"/>
    <w:rsid w:val="004D4D88"/>
    <w:rsid w:val="004F195F"/>
    <w:rsid w:val="00502EB6"/>
    <w:rsid w:val="00514283"/>
    <w:rsid w:val="00514346"/>
    <w:rsid w:val="00514F92"/>
    <w:rsid w:val="00520FAD"/>
    <w:rsid w:val="00526D77"/>
    <w:rsid w:val="00533163"/>
    <w:rsid w:val="005332F4"/>
    <w:rsid w:val="005370B7"/>
    <w:rsid w:val="00542C43"/>
    <w:rsid w:val="00554EC4"/>
    <w:rsid w:val="005606A7"/>
    <w:rsid w:val="005613DF"/>
    <w:rsid w:val="005715A9"/>
    <w:rsid w:val="00572011"/>
    <w:rsid w:val="00592BB2"/>
    <w:rsid w:val="00594921"/>
    <w:rsid w:val="005A46C2"/>
    <w:rsid w:val="005A6260"/>
    <w:rsid w:val="005A742E"/>
    <w:rsid w:val="005A76F8"/>
    <w:rsid w:val="005B4B25"/>
    <w:rsid w:val="005B6210"/>
    <w:rsid w:val="005B7557"/>
    <w:rsid w:val="005C04F4"/>
    <w:rsid w:val="005C1D37"/>
    <w:rsid w:val="005C5000"/>
    <w:rsid w:val="005C686A"/>
    <w:rsid w:val="005E286D"/>
    <w:rsid w:val="005E56C5"/>
    <w:rsid w:val="005F0AD8"/>
    <w:rsid w:val="005F2207"/>
    <w:rsid w:val="006004DA"/>
    <w:rsid w:val="00603B93"/>
    <w:rsid w:val="006060E5"/>
    <w:rsid w:val="00611422"/>
    <w:rsid w:val="006143BF"/>
    <w:rsid w:val="00615828"/>
    <w:rsid w:val="00616D2B"/>
    <w:rsid w:val="00620949"/>
    <w:rsid w:val="00625B1B"/>
    <w:rsid w:val="0063211A"/>
    <w:rsid w:val="006375CD"/>
    <w:rsid w:val="006553FC"/>
    <w:rsid w:val="006556C9"/>
    <w:rsid w:val="00655B85"/>
    <w:rsid w:val="006562DC"/>
    <w:rsid w:val="006564DB"/>
    <w:rsid w:val="00665CFB"/>
    <w:rsid w:val="00672066"/>
    <w:rsid w:val="00673854"/>
    <w:rsid w:val="00674711"/>
    <w:rsid w:val="006773BB"/>
    <w:rsid w:val="00681E7E"/>
    <w:rsid w:val="006B2C07"/>
    <w:rsid w:val="006B7615"/>
    <w:rsid w:val="006C228F"/>
    <w:rsid w:val="006D5FD8"/>
    <w:rsid w:val="006D63FC"/>
    <w:rsid w:val="006F602D"/>
    <w:rsid w:val="006F6157"/>
    <w:rsid w:val="006F7FD6"/>
    <w:rsid w:val="007006F1"/>
    <w:rsid w:val="00705824"/>
    <w:rsid w:val="00711744"/>
    <w:rsid w:val="007235DB"/>
    <w:rsid w:val="00725F32"/>
    <w:rsid w:val="007311E7"/>
    <w:rsid w:val="00734575"/>
    <w:rsid w:val="00737D36"/>
    <w:rsid w:val="00743713"/>
    <w:rsid w:val="00743B5D"/>
    <w:rsid w:val="0075355D"/>
    <w:rsid w:val="007556D7"/>
    <w:rsid w:val="00755A67"/>
    <w:rsid w:val="00763359"/>
    <w:rsid w:val="0077378D"/>
    <w:rsid w:val="00773E0C"/>
    <w:rsid w:val="00775EF1"/>
    <w:rsid w:val="00784272"/>
    <w:rsid w:val="00787013"/>
    <w:rsid w:val="0079680B"/>
    <w:rsid w:val="007A2932"/>
    <w:rsid w:val="007A365E"/>
    <w:rsid w:val="007A60BD"/>
    <w:rsid w:val="007B6C26"/>
    <w:rsid w:val="007B70F6"/>
    <w:rsid w:val="007C118B"/>
    <w:rsid w:val="007C3918"/>
    <w:rsid w:val="007E2B8D"/>
    <w:rsid w:val="007E4B8F"/>
    <w:rsid w:val="007E700E"/>
    <w:rsid w:val="007F1F75"/>
    <w:rsid w:val="007F2106"/>
    <w:rsid w:val="007F65A3"/>
    <w:rsid w:val="008124A7"/>
    <w:rsid w:val="00812CED"/>
    <w:rsid w:val="00812DC9"/>
    <w:rsid w:val="008164CB"/>
    <w:rsid w:val="0082000B"/>
    <w:rsid w:val="00823EAD"/>
    <w:rsid w:val="008249DB"/>
    <w:rsid w:val="008320E2"/>
    <w:rsid w:val="00832C5F"/>
    <w:rsid w:val="0083650D"/>
    <w:rsid w:val="00837543"/>
    <w:rsid w:val="00842C8F"/>
    <w:rsid w:val="008475D1"/>
    <w:rsid w:val="008664BD"/>
    <w:rsid w:val="00876185"/>
    <w:rsid w:val="00877370"/>
    <w:rsid w:val="008807E8"/>
    <w:rsid w:val="0088728C"/>
    <w:rsid w:val="008B6417"/>
    <w:rsid w:val="008C1D4F"/>
    <w:rsid w:val="008C47CD"/>
    <w:rsid w:val="008C734D"/>
    <w:rsid w:val="008C78B1"/>
    <w:rsid w:val="008D2534"/>
    <w:rsid w:val="008D2C1A"/>
    <w:rsid w:val="008D76CA"/>
    <w:rsid w:val="008D7B8D"/>
    <w:rsid w:val="008E32E8"/>
    <w:rsid w:val="008E6A45"/>
    <w:rsid w:val="008F0459"/>
    <w:rsid w:val="008F1D6A"/>
    <w:rsid w:val="008F682C"/>
    <w:rsid w:val="0090470D"/>
    <w:rsid w:val="00906F4A"/>
    <w:rsid w:val="00917DE0"/>
    <w:rsid w:val="009272BD"/>
    <w:rsid w:val="0093633C"/>
    <w:rsid w:val="00936589"/>
    <w:rsid w:val="0094594E"/>
    <w:rsid w:val="00952E9F"/>
    <w:rsid w:val="0095534F"/>
    <w:rsid w:val="009575EF"/>
    <w:rsid w:val="009624B0"/>
    <w:rsid w:val="00964550"/>
    <w:rsid w:val="00964ABE"/>
    <w:rsid w:val="00964D92"/>
    <w:rsid w:val="00982E87"/>
    <w:rsid w:val="00983CA9"/>
    <w:rsid w:val="009840CA"/>
    <w:rsid w:val="00986484"/>
    <w:rsid w:val="00990A08"/>
    <w:rsid w:val="00994CC4"/>
    <w:rsid w:val="00994D27"/>
    <w:rsid w:val="00996860"/>
    <w:rsid w:val="00996CDD"/>
    <w:rsid w:val="009A7BD4"/>
    <w:rsid w:val="009B000E"/>
    <w:rsid w:val="009B038D"/>
    <w:rsid w:val="009C04A0"/>
    <w:rsid w:val="009D075B"/>
    <w:rsid w:val="009D1391"/>
    <w:rsid w:val="009F27BE"/>
    <w:rsid w:val="009F3579"/>
    <w:rsid w:val="00A00AC5"/>
    <w:rsid w:val="00A038C4"/>
    <w:rsid w:val="00A06FA8"/>
    <w:rsid w:val="00A16E61"/>
    <w:rsid w:val="00A20463"/>
    <w:rsid w:val="00A2724B"/>
    <w:rsid w:val="00A30ED7"/>
    <w:rsid w:val="00A320F9"/>
    <w:rsid w:val="00A34816"/>
    <w:rsid w:val="00A35871"/>
    <w:rsid w:val="00A423BA"/>
    <w:rsid w:val="00A446AF"/>
    <w:rsid w:val="00A45540"/>
    <w:rsid w:val="00A47103"/>
    <w:rsid w:val="00A55413"/>
    <w:rsid w:val="00A55D1C"/>
    <w:rsid w:val="00A62529"/>
    <w:rsid w:val="00A657FE"/>
    <w:rsid w:val="00A710C3"/>
    <w:rsid w:val="00A7475C"/>
    <w:rsid w:val="00A817AA"/>
    <w:rsid w:val="00A863C9"/>
    <w:rsid w:val="00A933D6"/>
    <w:rsid w:val="00A94928"/>
    <w:rsid w:val="00AA2CD8"/>
    <w:rsid w:val="00AA4E64"/>
    <w:rsid w:val="00AA555C"/>
    <w:rsid w:val="00AB1760"/>
    <w:rsid w:val="00AB442B"/>
    <w:rsid w:val="00AB7D0B"/>
    <w:rsid w:val="00AC5EAD"/>
    <w:rsid w:val="00AD14A6"/>
    <w:rsid w:val="00AD21F1"/>
    <w:rsid w:val="00AD2B36"/>
    <w:rsid w:val="00AD4BB5"/>
    <w:rsid w:val="00AD7E9A"/>
    <w:rsid w:val="00AE3BCC"/>
    <w:rsid w:val="00AE4481"/>
    <w:rsid w:val="00AE6B2D"/>
    <w:rsid w:val="00AE6F28"/>
    <w:rsid w:val="00AF03E9"/>
    <w:rsid w:val="00AF6653"/>
    <w:rsid w:val="00AF77C2"/>
    <w:rsid w:val="00B0025F"/>
    <w:rsid w:val="00B041D2"/>
    <w:rsid w:val="00B04EF4"/>
    <w:rsid w:val="00B15640"/>
    <w:rsid w:val="00B2356B"/>
    <w:rsid w:val="00B34B3E"/>
    <w:rsid w:val="00B3607D"/>
    <w:rsid w:val="00B374F4"/>
    <w:rsid w:val="00B37B67"/>
    <w:rsid w:val="00B37D5F"/>
    <w:rsid w:val="00B40384"/>
    <w:rsid w:val="00B55A6A"/>
    <w:rsid w:val="00B61A21"/>
    <w:rsid w:val="00B629AA"/>
    <w:rsid w:val="00B62E5B"/>
    <w:rsid w:val="00B64EEA"/>
    <w:rsid w:val="00B672DA"/>
    <w:rsid w:val="00B747BD"/>
    <w:rsid w:val="00B7527E"/>
    <w:rsid w:val="00B85C54"/>
    <w:rsid w:val="00B946A4"/>
    <w:rsid w:val="00BA634A"/>
    <w:rsid w:val="00BC3CD2"/>
    <w:rsid w:val="00BC505C"/>
    <w:rsid w:val="00BD2540"/>
    <w:rsid w:val="00BD7B2E"/>
    <w:rsid w:val="00BF4F56"/>
    <w:rsid w:val="00C1421F"/>
    <w:rsid w:val="00C14BA8"/>
    <w:rsid w:val="00C1581B"/>
    <w:rsid w:val="00C20348"/>
    <w:rsid w:val="00C259B7"/>
    <w:rsid w:val="00C305AA"/>
    <w:rsid w:val="00C32F57"/>
    <w:rsid w:val="00C3426F"/>
    <w:rsid w:val="00C36F21"/>
    <w:rsid w:val="00C40504"/>
    <w:rsid w:val="00C40C41"/>
    <w:rsid w:val="00C4266C"/>
    <w:rsid w:val="00C44E68"/>
    <w:rsid w:val="00C66D2B"/>
    <w:rsid w:val="00C67D9F"/>
    <w:rsid w:val="00C71B34"/>
    <w:rsid w:val="00C75F48"/>
    <w:rsid w:val="00C76C47"/>
    <w:rsid w:val="00C77BC1"/>
    <w:rsid w:val="00C81052"/>
    <w:rsid w:val="00C82BDA"/>
    <w:rsid w:val="00C8310A"/>
    <w:rsid w:val="00C84892"/>
    <w:rsid w:val="00C84940"/>
    <w:rsid w:val="00C87CA5"/>
    <w:rsid w:val="00C93BE8"/>
    <w:rsid w:val="00C951C3"/>
    <w:rsid w:val="00C964AC"/>
    <w:rsid w:val="00C9758E"/>
    <w:rsid w:val="00CA16CA"/>
    <w:rsid w:val="00CB33CE"/>
    <w:rsid w:val="00CC01A4"/>
    <w:rsid w:val="00CC1ED1"/>
    <w:rsid w:val="00CC7A24"/>
    <w:rsid w:val="00CC7A8F"/>
    <w:rsid w:val="00CD0BBC"/>
    <w:rsid w:val="00CD181A"/>
    <w:rsid w:val="00CD3FC4"/>
    <w:rsid w:val="00CD4EF2"/>
    <w:rsid w:val="00CE1C0C"/>
    <w:rsid w:val="00CE4040"/>
    <w:rsid w:val="00D04249"/>
    <w:rsid w:val="00D04427"/>
    <w:rsid w:val="00D04D12"/>
    <w:rsid w:val="00D10A54"/>
    <w:rsid w:val="00D200F0"/>
    <w:rsid w:val="00D209BB"/>
    <w:rsid w:val="00D2212F"/>
    <w:rsid w:val="00D26B26"/>
    <w:rsid w:val="00D37648"/>
    <w:rsid w:val="00D377CF"/>
    <w:rsid w:val="00D42B2A"/>
    <w:rsid w:val="00D4542C"/>
    <w:rsid w:val="00D46570"/>
    <w:rsid w:val="00D47481"/>
    <w:rsid w:val="00D50781"/>
    <w:rsid w:val="00D56F5F"/>
    <w:rsid w:val="00D64594"/>
    <w:rsid w:val="00D71EC4"/>
    <w:rsid w:val="00D72927"/>
    <w:rsid w:val="00D8290F"/>
    <w:rsid w:val="00D87992"/>
    <w:rsid w:val="00D94AEE"/>
    <w:rsid w:val="00DA1C31"/>
    <w:rsid w:val="00DA4734"/>
    <w:rsid w:val="00DB48C6"/>
    <w:rsid w:val="00DB64DD"/>
    <w:rsid w:val="00DB79BE"/>
    <w:rsid w:val="00DC15B2"/>
    <w:rsid w:val="00DC530D"/>
    <w:rsid w:val="00DD1C7B"/>
    <w:rsid w:val="00DD352C"/>
    <w:rsid w:val="00DD5D27"/>
    <w:rsid w:val="00DE4B85"/>
    <w:rsid w:val="00E04B5C"/>
    <w:rsid w:val="00E0652E"/>
    <w:rsid w:val="00E149D0"/>
    <w:rsid w:val="00E1756C"/>
    <w:rsid w:val="00E17777"/>
    <w:rsid w:val="00E2461B"/>
    <w:rsid w:val="00E30FEE"/>
    <w:rsid w:val="00E35635"/>
    <w:rsid w:val="00E45388"/>
    <w:rsid w:val="00E53555"/>
    <w:rsid w:val="00E54D82"/>
    <w:rsid w:val="00E56212"/>
    <w:rsid w:val="00E621E8"/>
    <w:rsid w:val="00E71D15"/>
    <w:rsid w:val="00E7265F"/>
    <w:rsid w:val="00E767BA"/>
    <w:rsid w:val="00E9298B"/>
    <w:rsid w:val="00E96C27"/>
    <w:rsid w:val="00EA5F54"/>
    <w:rsid w:val="00EB0FBE"/>
    <w:rsid w:val="00EB78E8"/>
    <w:rsid w:val="00EC4968"/>
    <w:rsid w:val="00EC5357"/>
    <w:rsid w:val="00EC620E"/>
    <w:rsid w:val="00EC7332"/>
    <w:rsid w:val="00EE08D8"/>
    <w:rsid w:val="00EE1EAA"/>
    <w:rsid w:val="00EE1EDD"/>
    <w:rsid w:val="00EE5263"/>
    <w:rsid w:val="00EF4611"/>
    <w:rsid w:val="00EF59C8"/>
    <w:rsid w:val="00F03C24"/>
    <w:rsid w:val="00F063B7"/>
    <w:rsid w:val="00F10FD2"/>
    <w:rsid w:val="00F12394"/>
    <w:rsid w:val="00F13018"/>
    <w:rsid w:val="00F131CA"/>
    <w:rsid w:val="00F17D9D"/>
    <w:rsid w:val="00F256DC"/>
    <w:rsid w:val="00F305FB"/>
    <w:rsid w:val="00F353D3"/>
    <w:rsid w:val="00F408EF"/>
    <w:rsid w:val="00F46BF0"/>
    <w:rsid w:val="00F51395"/>
    <w:rsid w:val="00F55138"/>
    <w:rsid w:val="00F55950"/>
    <w:rsid w:val="00F758FF"/>
    <w:rsid w:val="00F80111"/>
    <w:rsid w:val="00F83A2C"/>
    <w:rsid w:val="00F915E8"/>
    <w:rsid w:val="00FA15E6"/>
    <w:rsid w:val="00FA511C"/>
    <w:rsid w:val="00FA51C7"/>
    <w:rsid w:val="00FB154D"/>
    <w:rsid w:val="00FC3C07"/>
    <w:rsid w:val="00FD06BF"/>
    <w:rsid w:val="00FD3E71"/>
    <w:rsid w:val="00FD6E4F"/>
    <w:rsid w:val="00FE2FBF"/>
    <w:rsid w:val="00FE3AB2"/>
    <w:rsid w:val="00FF08ED"/>
    <w:rsid w:val="00FF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C68BC"/>
  <w15:chartTrackingRefBased/>
  <w15:docId w15:val="{7A88BBC9-55F8-4A86-973C-D36BA811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4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74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3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B05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773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587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9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maining-text">
    <w:name w:val="remaining-text"/>
    <w:basedOn w:val="DefaultParagraphFont"/>
    <w:rsid w:val="00291A3E"/>
  </w:style>
  <w:style w:type="character" w:customStyle="1" w:styleId="hgkelc">
    <w:name w:val="hgkelc"/>
    <w:basedOn w:val="DefaultParagraphFont"/>
    <w:rsid w:val="000B009F"/>
  </w:style>
  <w:style w:type="character" w:styleId="CommentReference">
    <w:name w:val="annotation reference"/>
    <w:basedOn w:val="DefaultParagraphFont"/>
    <w:uiPriority w:val="99"/>
    <w:semiHidden/>
    <w:unhideWhenUsed/>
    <w:rsid w:val="00743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7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7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7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1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672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1">
    <w:name w:val="A1"/>
    <w:uiPriority w:val="99"/>
    <w:rsid w:val="00B672DA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474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74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35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235D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235D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23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235DB"/>
    <w:pPr>
      <w:spacing w:after="100"/>
      <w:ind w:left="440"/>
    </w:pPr>
  </w:style>
  <w:style w:type="paragraph" w:styleId="Bibliography">
    <w:name w:val="Bibliography"/>
    <w:basedOn w:val="Normal"/>
    <w:next w:val="Normal"/>
    <w:uiPriority w:val="37"/>
    <w:unhideWhenUsed/>
    <w:rsid w:val="00AE4481"/>
  </w:style>
  <w:style w:type="paragraph" w:styleId="EndnoteText">
    <w:name w:val="endnote text"/>
    <w:basedOn w:val="Normal"/>
    <w:link w:val="EndnoteTextChar"/>
    <w:uiPriority w:val="99"/>
    <w:semiHidden/>
    <w:unhideWhenUsed/>
    <w:rsid w:val="001206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06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20699"/>
    <w:rPr>
      <w:vertAlign w:val="superscript"/>
    </w:rPr>
  </w:style>
  <w:style w:type="character" w:customStyle="1" w:styleId="acopre">
    <w:name w:val="acopre"/>
    <w:basedOn w:val="DefaultParagraphFont"/>
    <w:rsid w:val="006D6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5963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9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hyperlink" Target="https://www.invesco.com/emea/en/invesco-insights/insights/cat-bonds-and-ils-are-a-fundamentally-esg-oriented-investments.html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wealthadviser.co/2020/06/15/286511/hnw-investors-gearing-alternative-investment-opportunities" TargetMode="External"/><Relationship Id="rId34" Type="http://schemas.openxmlformats.org/officeDocument/2006/relationships/hyperlink" Target="https://www.bloomberg.com/news/articles/2020-10-13/bond-markets-suggest-don-t-write-off-inflation-risks-just-ye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www.spglobal.com/marketintelligence/en/news-insights/research/the-impact-of-the-covid19-pandemic-on-the-private-equity-market" TargetMode="External"/><Relationship Id="rId33" Type="http://schemas.openxmlformats.org/officeDocument/2006/relationships/hyperlink" Target="https://www.investopedia.com/terms/c/catastrophebond.asp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www.ft.com/content/fdb793a4-712e-477f-9a81-7f67aefda21a" TargetMode="External"/><Relationship Id="rId29" Type="http://schemas.openxmlformats.org/officeDocument/2006/relationships/hyperlink" Target="https://www.nasdaq.com/articles/the-rise-of-alternative-investments%3A-how-central-bank-stimulus-has-forced-a-rethink-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mckinsey.com/industries/private-equity-and-principal-investors/our-insights/a-rolling-disruption-covid-19s-implications-for-private-equity-and-portfolio-companies" TargetMode="External"/><Relationship Id="rId32" Type="http://schemas.openxmlformats.org/officeDocument/2006/relationships/hyperlink" Target="https://litigationfinancejournal.com/value-in-litigation-implications-for-litigation-finance/" TargetMode="External"/><Relationship Id="rId37" Type="http://schemas.openxmlformats.org/officeDocument/2006/relationships/hyperlink" Target="https://www.partnerre.com/assets/uploads/docs/The-Drivers-of-Catastrophe-Bond-Pricing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www.hedgeweek.com/2020/10/08/290657/hedge-funds-stumble-september-stormy-markets-bring-five-month-surge-end" TargetMode="External"/><Relationship Id="rId28" Type="http://schemas.openxmlformats.org/officeDocument/2006/relationships/hyperlink" Target="https://thehedgefundjournal.com/beyond-60-40/" TargetMode="External"/><Relationship Id="rId36" Type="http://schemas.openxmlformats.org/officeDocument/2006/relationships/hyperlink" Target="https://www.investopedia.com/terms/c/catastrophebond.asp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31" Type="http://schemas.openxmlformats.org/officeDocument/2006/relationships/hyperlink" Target="https://www.streetinsider.com/Business+Wire/Alternative+Investment+Professionals+Predict+That+Full+Deal+Activity+Will+Return+in+2021/17467178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www.institutionalinvestor.com/article/b1np4x2kqcyzst/What-s-Driving-Multi-Asset-Funds-Into-Alternatives" TargetMode="External"/><Relationship Id="rId27" Type="http://schemas.openxmlformats.org/officeDocument/2006/relationships/hyperlink" Target="https://www.businessinsurance.com/article/20200929/NEWS06/912336750/Insurance-linked-securities-rebound-from-pandemic-disruption" TargetMode="External"/><Relationship Id="rId30" Type="http://schemas.openxmlformats.org/officeDocument/2006/relationships/hyperlink" Target="https://pitchbook.com/news/articles/qa-why-life-insurance-and-lawsuits-might-be-the-next-big-things-for-pe" TargetMode="External"/><Relationship Id="rId35" Type="http://schemas.openxmlformats.org/officeDocument/2006/relationships/hyperlink" Target="https://www.artemis.bm/news/ils-asset-valuation-an-art-and-a-science-horseshoes-jb-croz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 Version="2003">
  <b:Source>
    <b:Tag>htt</b:Tag>
    <b:SourceType>JournalArticle</b:SourceType>
    <b:Guid>{FD9F0CD7-5441-4F09-8F6F-D71B69F149D1}</b:Guid>
    <b:Author>
      <b:Author>
        <b:NameList>
          <b:Person>
            <b:Last>https://www.ft.com/content/fdb793a4-712e-477f-9a81-7f67aefda21a</b:Last>
          </b:Person>
        </b:NameList>
      </b:Author>
    </b:Author>
    <b:RefOrder>2</b:RefOrder>
  </b:Source>
  <b:Source>
    <b:Tag>Fin</b:Tag>
    <b:SourceType>InternetSite</b:SourceType>
    <b:Guid>{B407DEE8-2AE1-48B8-8B94-243DC9D5413C}</b:Guid>
    <b:Author>
      <b:Author>
        <b:NameList>
          <b:Person>
            <b:Last>Times</b:Last>
            <b:First>Financial</b:First>
          </b:Person>
        </b:NameList>
      </b:Author>
    </b:Author>
    <b:URL>https://www.ft.com/content/fdb793a4-712e-477f-9a81-7f67aefda21a</b:URL>
    <b:RefOrder>1</b:RefOrder>
  </b:Source>
</b:Sources>
</file>

<file path=customXml/itemProps1.xml><?xml version="1.0" encoding="utf-8"?>
<ds:datastoreItem xmlns:ds="http://schemas.openxmlformats.org/officeDocument/2006/customXml" ds:itemID="{522067BD-DEC2-4BA5-899A-6293F3B2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2676</Words>
  <Characters>15258</Characters>
  <Application>Microsoft Office Word</Application>
  <DocSecurity>4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Vermigli</dc:creator>
  <cp:keywords/>
  <dc:description/>
  <cp:lastModifiedBy>Oleksandra Polishchuk</cp:lastModifiedBy>
  <cp:revision>2</cp:revision>
  <dcterms:created xsi:type="dcterms:W3CDTF">2020-11-02T10:01:00Z</dcterms:created>
  <dcterms:modified xsi:type="dcterms:W3CDTF">2020-11-02T10:01:00Z</dcterms:modified>
</cp:coreProperties>
</file>